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D4" w:rsidRDefault="00F669D4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</w:p>
    <w:p w:rsidR="00F669D4" w:rsidRDefault="00630AF0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  <w:r w:rsidRPr="00F669D4">
        <w:rPr>
          <w:rFonts w:eastAsia="Arial Unicode MS"/>
          <w:sz w:val="32"/>
          <w:szCs w:val="32"/>
        </w:rPr>
        <w:t xml:space="preserve">metodikA rozpisu dotáciE </w:t>
      </w:r>
      <w:r w:rsidR="00FB1890" w:rsidRPr="00F669D4">
        <w:rPr>
          <w:rFonts w:eastAsia="Arial Unicode MS"/>
          <w:sz w:val="32"/>
          <w:szCs w:val="32"/>
        </w:rPr>
        <w:t xml:space="preserve"> </w:t>
      </w:r>
    </w:p>
    <w:p w:rsidR="00F669D4" w:rsidRDefault="00FB1890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  <w:r w:rsidRPr="00F669D4">
        <w:rPr>
          <w:rFonts w:eastAsia="Arial Unicode MS"/>
          <w:sz w:val="32"/>
          <w:szCs w:val="32"/>
        </w:rPr>
        <w:t xml:space="preserve">zo štátneho rozpočtu  </w:t>
      </w:r>
    </w:p>
    <w:p w:rsidR="006B3888" w:rsidRDefault="00FB1890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  <w:r w:rsidRPr="00F669D4">
        <w:rPr>
          <w:rFonts w:eastAsia="Arial Unicode MS"/>
          <w:sz w:val="32"/>
          <w:szCs w:val="32"/>
        </w:rPr>
        <w:t xml:space="preserve">fakultám  </w:t>
      </w:r>
      <w:r w:rsidR="00630AF0" w:rsidRPr="00F669D4">
        <w:rPr>
          <w:rFonts w:eastAsia="Arial Unicode MS"/>
          <w:sz w:val="32"/>
          <w:szCs w:val="32"/>
        </w:rPr>
        <w:t>a Ďalším súčastiam</w:t>
      </w:r>
      <w:r w:rsidR="00630AF0" w:rsidRPr="00F669D4">
        <w:rPr>
          <w:rFonts w:eastAsia="Arial Unicode MS"/>
          <w:sz w:val="32"/>
          <w:szCs w:val="32"/>
        </w:rPr>
        <w:br/>
        <w:t>Univerzity J. Selyeho v</w:t>
      </w:r>
      <w:r w:rsidRPr="00F669D4">
        <w:rPr>
          <w:rFonts w:eastAsia="Arial Unicode MS"/>
          <w:sz w:val="32"/>
          <w:szCs w:val="32"/>
        </w:rPr>
        <w:t> </w:t>
      </w:r>
      <w:r w:rsidR="00630AF0" w:rsidRPr="00F669D4">
        <w:rPr>
          <w:rFonts w:eastAsia="Arial Unicode MS"/>
          <w:sz w:val="32"/>
          <w:szCs w:val="32"/>
        </w:rPr>
        <w:t>komárne</w:t>
      </w:r>
      <w:r w:rsidRPr="00F669D4">
        <w:rPr>
          <w:rFonts w:eastAsia="Arial Unicode MS"/>
          <w:sz w:val="32"/>
          <w:szCs w:val="32"/>
        </w:rPr>
        <w:t xml:space="preserve">                 </w:t>
      </w:r>
      <w:r w:rsidR="00630AF0" w:rsidRPr="00F669D4">
        <w:rPr>
          <w:rFonts w:eastAsia="Arial Unicode MS"/>
          <w:sz w:val="32"/>
          <w:szCs w:val="32"/>
        </w:rPr>
        <w:t>na r</w:t>
      </w:r>
      <w:r w:rsidR="006B3888" w:rsidRPr="00F669D4">
        <w:rPr>
          <w:rFonts w:eastAsia="Arial Unicode MS"/>
          <w:sz w:val="32"/>
          <w:szCs w:val="32"/>
        </w:rPr>
        <w:t>O</w:t>
      </w:r>
      <w:r w:rsidR="00630AF0" w:rsidRPr="00F669D4">
        <w:rPr>
          <w:rFonts w:eastAsia="Arial Unicode MS"/>
          <w:sz w:val="32"/>
          <w:szCs w:val="32"/>
        </w:rPr>
        <w:t>k 2023</w:t>
      </w:r>
    </w:p>
    <w:p w:rsidR="002A3051" w:rsidRPr="00F669D4" w:rsidRDefault="002A3051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0800" behindDoc="0" locked="0" layoutInCell="1" allowOverlap="1" wp14:anchorId="2483044E" wp14:editId="5148DD0E">
            <wp:simplePos x="0" y="0"/>
            <wp:positionH relativeFrom="column">
              <wp:posOffset>2453933</wp:posOffset>
            </wp:positionH>
            <wp:positionV relativeFrom="paragraph">
              <wp:posOffset>239102</wp:posOffset>
            </wp:positionV>
            <wp:extent cx="1306484" cy="1960685"/>
            <wp:effectExtent l="0" t="0" r="8255" b="190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66" cy="200072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888" w:rsidRPr="00F669D4" w:rsidRDefault="006B3888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32"/>
          <w:szCs w:val="32"/>
        </w:rPr>
      </w:pPr>
    </w:p>
    <w:p w:rsidR="006B3888" w:rsidRDefault="006B3888" w:rsidP="006B3888">
      <w:pPr>
        <w:pStyle w:val="TitulkaUKmetodika"/>
        <w:spacing w:before="100" w:beforeAutospacing="1" w:after="100" w:afterAutospacing="1" w:line="360" w:lineRule="auto"/>
        <w:rPr>
          <w:rFonts w:ascii="Arial Unicode MS" w:eastAsia="Arial Unicode MS" w:hAnsi="Arial Unicode MS" w:cs="Arial Unicode MS"/>
          <w:sz w:val="32"/>
        </w:rPr>
      </w:pPr>
    </w:p>
    <w:p w:rsidR="006B3888" w:rsidRDefault="006B3888" w:rsidP="006B3888">
      <w:pPr>
        <w:pStyle w:val="TitulkaUKmetodika"/>
        <w:spacing w:before="100" w:beforeAutospacing="1" w:after="100" w:afterAutospacing="1" w:line="360" w:lineRule="auto"/>
        <w:rPr>
          <w:rFonts w:ascii="Arial Unicode MS" w:eastAsia="Arial Unicode MS" w:hAnsi="Arial Unicode MS" w:cs="Arial Unicode MS"/>
          <w:sz w:val="32"/>
        </w:rPr>
      </w:pPr>
    </w:p>
    <w:p w:rsidR="002A3051" w:rsidRDefault="002A3051" w:rsidP="006B3888">
      <w:pPr>
        <w:pStyle w:val="TitulkaUKmetodika"/>
        <w:spacing w:before="100" w:beforeAutospacing="1" w:after="100" w:afterAutospacing="1" w:line="360" w:lineRule="auto"/>
        <w:rPr>
          <w:rFonts w:ascii="Arial Unicode MS" w:eastAsia="Arial Unicode MS" w:hAnsi="Arial Unicode MS" w:cs="Arial Unicode MS"/>
          <w:sz w:val="32"/>
        </w:rPr>
      </w:pPr>
    </w:p>
    <w:p w:rsidR="006B3888" w:rsidRDefault="006B3888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24"/>
        </w:rPr>
      </w:pPr>
    </w:p>
    <w:p w:rsidR="00477E56" w:rsidRPr="00F669D4" w:rsidRDefault="00477E56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24"/>
        </w:rPr>
      </w:pPr>
    </w:p>
    <w:p w:rsidR="00C31E7F" w:rsidRPr="00F669D4" w:rsidRDefault="00477E56" w:rsidP="006B3888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sCHVáLENá na zasadnutí AKADEMICKéHO SENáTU </w:t>
      </w:r>
      <w:bookmarkStart w:id="0" w:name="_GoBack"/>
      <w:bookmarkEnd w:id="0"/>
      <w:r>
        <w:rPr>
          <w:rFonts w:eastAsia="Arial Unicode MS"/>
          <w:sz w:val="24"/>
        </w:rPr>
        <w:t xml:space="preserve"> ujs A sPRáVNEJ RADY ujs : Máj 2023</w:t>
      </w:r>
    </w:p>
    <w:p w:rsidR="00477E56" w:rsidRDefault="00477E56" w:rsidP="002A3051">
      <w:pPr>
        <w:pStyle w:val="TitulkaUKmetodika"/>
        <w:spacing w:before="100" w:beforeAutospacing="1" w:after="100" w:afterAutospacing="1" w:line="276" w:lineRule="auto"/>
        <w:rPr>
          <w:rFonts w:eastAsia="Arial Unicode MS"/>
          <w:caps w:val="0"/>
          <w:sz w:val="24"/>
        </w:rPr>
      </w:pPr>
    </w:p>
    <w:p w:rsidR="002A3051" w:rsidRDefault="002A3051">
      <w:pPr>
        <w:rPr>
          <w:b/>
          <w:sz w:val="28"/>
          <w:u w:val="single"/>
        </w:rPr>
      </w:pPr>
    </w:p>
    <w:p w:rsidR="00477E56" w:rsidRDefault="00477E56">
      <w:pPr>
        <w:rPr>
          <w:b/>
          <w:sz w:val="28"/>
          <w:u w:val="single"/>
        </w:rPr>
      </w:pPr>
    </w:p>
    <w:p w:rsidR="00C31E7F" w:rsidRDefault="00C31E7F" w:rsidP="00C31E7F">
      <w:pPr>
        <w:pStyle w:val="TitulkaUKmetodika"/>
        <w:spacing w:before="100" w:beforeAutospacing="1" w:after="100" w:afterAutospacing="1" w:line="360" w:lineRule="auto"/>
        <w:rPr>
          <w:rFonts w:eastAsia="Arial Unicode MS"/>
          <w:sz w:val="24"/>
        </w:rPr>
      </w:pPr>
      <w:r w:rsidRPr="00F669D4">
        <w:rPr>
          <w:rFonts w:eastAsia="Arial Unicode MS"/>
          <w:sz w:val="24"/>
        </w:rPr>
        <w:t>komárno, apríl 2023</w:t>
      </w:r>
    </w:p>
    <w:p w:rsidR="00D828A2" w:rsidRPr="00D828A2" w:rsidRDefault="00E73DA2" w:rsidP="00103B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D828A2">
        <w:rPr>
          <w:rFonts w:ascii="Times New Roman" w:hAnsi="Times New Roman" w:cs="Times New Roman"/>
          <w:b/>
          <w:i/>
          <w:color w:val="000000" w:themeColor="text1"/>
        </w:rPr>
        <w:lastRenderedPageBreak/>
        <w:tab/>
      </w:r>
      <w:r w:rsidR="00B55766">
        <w:rPr>
          <w:rFonts w:ascii="Times New Roman" w:hAnsi="Times New Roman" w:cs="Times New Roman"/>
          <w:b/>
          <w:i/>
          <w:color w:val="000000" w:themeColor="text1"/>
        </w:rPr>
        <w:t>Východiská</w:t>
      </w:r>
    </w:p>
    <w:p w:rsidR="00892CE7" w:rsidRDefault="00892CE7" w:rsidP="00103B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8">
        <w:rPr>
          <w:rFonts w:ascii="Times New Roman" w:hAnsi="Times New Roman" w:cs="Times New Roman"/>
          <w:sz w:val="24"/>
          <w:szCs w:val="24"/>
        </w:rPr>
        <w:t xml:space="preserve">Metodika </w:t>
      </w:r>
      <w:r w:rsidR="00D828A2">
        <w:rPr>
          <w:rFonts w:ascii="Times New Roman" w:hAnsi="Times New Roman" w:cs="Times New Roman"/>
          <w:sz w:val="24"/>
          <w:szCs w:val="24"/>
        </w:rPr>
        <w:t xml:space="preserve">rozpisu dotácie </w:t>
      </w:r>
      <w:r w:rsidR="001E2DA2">
        <w:rPr>
          <w:rFonts w:ascii="Times New Roman" w:hAnsi="Times New Roman" w:cs="Times New Roman"/>
          <w:sz w:val="24"/>
          <w:szCs w:val="24"/>
        </w:rPr>
        <w:t xml:space="preserve">zo štátneho rozpočtu fakultám a súčastiam </w:t>
      </w:r>
      <w:r w:rsidR="00D828A2">
        <w:rPr>
          <w:rFonts w:ascii="Times New Roman" w:hAnsi="Times New Roman" w:cs="Times New Roman"/>
          <w:sz w:val="24"/>
          <w:szCs w:val="24"/>
        </w:rPr>
        <w:t>Univerzit</w:t>
      </w:r>
      <w:r w:rsidR="001E2DA2">
        <w:rPr>
          <w:rFonts w:ascii="Times New Roman" w:hAnsi="Times New Roman" w:cs="Times New Roman"/>
          <w:sz w:val="24"/>
          <w:szCs w:val="24"/>
        </w:rPr>
        <w:t>y</w:t>
      </w:r>
      <w:r w:rsidR="00D828A2">
        <w:rPr>
          <w:rFonts w:ascii="Times New Roman" w:hAnsi="Times New Roman" w:cs="Times New Roman"/>
          <w:sz w:val="24"/>
          <w:szCs w:val="24"/>
        </w:rPr>
        <w:t xml:space="preserve"> J. Selyeho (ďalej len </w:t>
      </w:r>
      <w:r w:rsidR="001E2DA2">
        <w:rPr>
          <w:rFonts w:ascii="Times New Roman" w:hAnsi="Times New Roman" w:cs="Times New Roman"/>
          <w:sz w:val="24"/>
          <w:szCs w:val="24"/>
        </w:rPr>
        <w:t>„</w:t>
      </w:r>
      <w:r w:rsidR="00D828A2">
        <w:rPr>
          <w:rFonts w:ascii="Times New Roman" w:hAnsi="Times New Roman" w:cs="Times New Roman"/>
          <w:sz w:val="24"/>
          <w:szCs w:val="24"/>
        </w:rPr>
        <w:t>UJS</w:t>
      </w:r>
      <w:r w:rsidR="001E2DA2">
        <w:rPr>
          <w:rFonts w:ascii="Times New Roman" w:hAnsi="Times New Roman" w:cs="Times New Roman"/>
          <w:sz w:val="24"/>
          <w:szCs w:val="24"/>
        </w:rPr>
        <w:t>“</w:t>
      </w:r>
      <w:r w:rsidR="00D828A2">
        <w:rPr>
          <w:rFonts w:ascii="Times New Roman" w:hAnsi="Times New Roman" w:cs="Times New Roman"/>
          <w:sz w:val="24"/>
          <w:szCs w:val="24"/>
        </w:rPr>
        <w:t xml:space="preserve"> alebo </w:t>
      </w:r>
      <w:r w:rsidR="001E2DA2">
        <w:rPr>
          <w:rFonts w:ascii="Times New Roman" w:hAnsi="Times New Roman" w:cs="Times New Roman"/>
          <w:sz w:val="24"/>
          <w:szCs w:val="24"/>
        </w:rPr>
        <w:t>„</w:t>
      </w:r>
      <w:r w:rsidR="00D828A2">
        <w:rPr>
          <w:rFonts w:ascii="Times New Roman" w:hAnsi="Times New Roman" w:cs="Times New Roman"/>
          <w:sz w:val="24"/>
          <w:szCs w:val="24"/>
        </w:rPr>
        <w:t>univerzita</w:t>
      </w:r>
      <w:r w:rsidR="001E2DA2">
        <w:rPr>
          <w:rFonts w:ascii="Times New Roman" w:hAnsi="Times New Roman" w:cs="Times New Roman"/>
          <w:sz w:val="24"/>
          <w:szCs w:val="24"/>
        </w:rPr>
        <w:t>“</w:t>
      </w:r>
      <w:r w:rsidR="00D828A2">
        <w:rPr>
          <w:rFonts w:ascii="Times New Roman" w:hAnsi="Times New Roman" w:cs="Times New Roman"/>
          <w:sz w:val="24"/>
          <w:szCs w:val="24"/>
        </w:rPr>
        <w:t xml:space="preserve">) </w:t>
      </w:r>
      <w:r w:rsidR="00E73DA2" w:rsidRPr="00103B78">
        <w:rPr>
          <w:rFonts w:ascii="Times New Roman" w:hAnsi="Times New Roman" w:cs="Times New Roman"/>
          <w:sz w:val="24"/>
          <w:szCs w:val="24"/>
        </w:rPr>
        <w:t>na rok 202</w:t>
      </w:r>
      <w:r w:rsidR="00592351" w:rsidRPr="00103B78">
        <w:rPr>
          <w:rFonts w:ascii="Times New Roman" w:hAnsi="Times New Roman" w:cs="Times New Roman"/>
          <w:sz w:val="24"/>
          <w:szCs w:val="24"/>
        </w:rPr>
        <w:t xml:space="preserve">3 </w:t>
      </w:r>
      <w:r w:rsidRPr="00103B78">
        <w:rPr>
          <w:rFonts w:ascii="Times New Roman" w:hAnsi="Times New Roman" w:cs="Times New Roman"/>
          <w:sz w:val="24"/>
          <w:szCs w:val="24"/>
        </w:rPr>
        <w:t>vychádza z ustanovení zákona č. 131/2002 Z. z. o vysokých školách a o zmene a doplnení niektorých zákonov v znení neskorších predpisov (ďalej len “zákon”).</w:t>
      </w:r>
      <w:r w:rsidR="00D828A2">
        <w:rPr>
          <w:rFonts w:ascii="Times New Roman" w:hAnsi="Times New Roman" w:cs="Times New Roman"/>
          <w:sz w:val="24"/>
          <w:szCs w:val="24"/>
        </w:rPr>
        <w:t xml:space="preserve"> Upravuje spôsob rozpisu dotácie fakultám a súčastiam UJS</w:t>
      </w:r>
      <w:r w:rsidR="001E2DA2">
        <w:rPr>
          <w:rFonts w:ascii="Times New Roman" w:hAnsi="Times New Roman" w:cs="Times New Roman"/>
          <w:sz w:val="24"/>
          <w:szCs w:val="24"/>
        </w:rPr>
        <w:t xml:space="preserve">. Vychádza z Metodiky rozpisu dotácií zo štátneho rozpočtu verejným vysokým školám na rok 2023 a zo Zmluvy o poskytnutí dotácie na rok 2023 zo štátneho rozpočtu prostredníctvom rozpočtu Ministerstva školstva, vedy, výskumu a športu SR (ďalej len </w:t>
      </w:r>
      <w:r w:rsidR="008D7D96">
        <w:rPr>
          <w:rFonts w:ascii="Times New Roman" w:hAnsi="Times New Roman" w:cs="Times New Roman"/>
          <w:sz w:val="24"/>
          <w:szCs w:val="24"/>
        </w:rPr>
        <w:t xml:space="preserve">„zmluva“ a </w:t>
      </w:r>
      <w:r w:rsidR="001E2DA2">
        <w:rPr>
          <w:rFonts w:ascii="Times New Roman" w:hAnsi="Times New Roman" w:cs="Times New Roman"/>
          <w:sz w:val="24"/>
          <w:szCs w:val="24"/>
        </w:rPr>
        <w:t>„ministerstvo“).</w:t>
      </w:r>
    </w:p>
    <w:p w:rsidR="00892CE7" w:rsidRPr="00103B78" w:rsidRDefault="00892CE7" w:rsidP="00103B78">
      <w:pPr>
        <w:pStyle w:val="odsek"/>
        <w:numPr>
          <w:ilvl w:val="0"/>
          <w:numId w:val="0"/>
        </w:numPr>
        <w:spacing w:before="100" w:beforeAutospacing="1" w:after="100" w:afterAutospacing="1"/>
        <w:rPr>
          <w:szCs w:val="24"/>
        </w:rPr>
      </w:pPr>
      <w:r w:rsidRPr="00103B78">
        <w:rPr>
          <w:szCs w:val="24"/>
        </w:rPr>
        <w:t>Na základe ustanovenia § 89 ods. 2 zákona pozostáva finančná podpora zo štátneho rozpočtu pre </w:t>
      </w:r>
      <w:r w:rsidR="001E2DA2">
        <w:rPr>
          <w:szCs w:val="24"/>
        </w:rPr>
        <w:t>UJS</w:t>
      </w:r>
      <w:r w:rsidRPr="00103B78">
        <w:rPr>
          <w:szCs w:val="24"/>
        </w:rPr>
        <w:t xml:space="preserve"> z nasledujúcich štyroch dotácií poskytovaných na základe zmluvy:</w:t>
      </w:r>
    </w:p>
    <w:p w:rsidR="00892CE7" w:rsidRPr="00103B78" w:rsidRDefault="00892CE7" w:rsidP="00A028D3">
      <w:pPr>
        <w:pStyle w:val="odsek"/>
        <w:numPr>
          <w:ilvl w:val="1"/>
          <w:numId w:val="6"/>
        </w:numPr>
        <w:spacing w:before="100" w:beforeAutospacing="1" w:after="100" w:afterAutospacing="1"/>
        <w:ind w:left="142" w:hanging="19"/>
        <w:rPr>
          <w:szCs w:val="24"/>
        </w:rPr>
      </w:pPr>
      <w:r w:rsidRPr="00103B78">
        <w:rPr>
          <w:szCs w:val="24"/>
        </w:rPr>
        <w:t xml:space="preserve">dotácia na uskutočňovanie akreditovaných študijných programov, </w:t>
      </w:r>
    </w:p>
    <w:p w:rsidR="00892CE7" w:rsidRPr="00103B78" w:rsidRDefault="00892CE7" w:rsidP="00A028D3">
      <w:pPr>
        <w:pStyle w:val="odsek"/>
        <w:numPr>
          <w:ilvl w:val="1"/>
          <w:numId w:val="6"/>
        </w:numPr>
        <w:spacing w:before="100" w:beforeAutospacing="1" w:after="100" w:afterAutospacing="1"/>
        <w:ind w:left="142" w:hanging="19"/>
        <w:rPr>
          <w:szCs w:val="24"/>
        </w:rPr>
      </w:pPr>
      <w:r w:rsidRPr="00103B78">
        <w:rPr>
          <w:szCs w:val="24"/>
        </w:rPr>
        <w:t xml:space="preserve">dotácia na výskumnú, vývojovú alebo umeleckú činnosť, </w:t>
      </w:r>
    </w:p>
    <w:p w:rsidR="00892CE7" w:rsidRPr="00103B78" w:rsidRDefault="00892CE7" w:rsidP="00A028D3">
      <w:pPr>
        <w:pStyle w:val="odsek"/>
        <w:numPr>
          <w:ilvl w:val="1"/>
          <w:numId w:val="6"/>
        </w:numPr>
        <w:spacing w:before="100" w:beforeAutospacing="1" w:after="100" w:afterAutospacing="1"/>
        <w:ind w:left="142" w:hanging="19"/>
        <w:rPr>
          <w:szCs w:val="24"/>
        </w:rPr>
      </w:pPr>
      <w:r w:rsidRPr="00103B78">
        <w:rPr>
          <w:szCs w:val="24"/>
        </w:rPr>
        <w:t xml:space="preserve">dotácia na rozvoj vysokej školy, </w:t>
      </w:r>
    </w:p>
    <w:p w:rsidR="00892CE7" w:rsidRPr="00103B78" w:rsidRDefault="00892CE7" w:rsidP="00A028D3">
      <w:pPr>
        <w:pStyle w:val="odsek"/>
        <w:numPr>
          <w:ilvl w:val="1"/>
          <w:numId w:val="6"/>
        </w:numPr>
        <w:spacing w:before="100" w:beforeAutospacing="1" w:after="100" w:afterAutospacing="1"/>
        <w:ind w:left="142" w:hanging="19"/>
        <w:rPr>
          <w:szCs w:val="24"/>
        </w:rPr>
      </w:pPr>
      <w:bookmarkStart w:id="1" w:name="_Ref281944534"/>
      <w:r w:rsidRPr="00103B78">
        <w:rPr>
          <w:szCs w:val="24"/>
        </w:rPr>
        <w:t>dotácia na sociálnu podporu študentov.</w:t>
      </w:r>
      <w:bookmarkEnd w:id="1"/>
    </w:p>
    <w:p w:rsidR="00892CE7" w:rsidRDefault="008D7D9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>C</w:t>
      </w:r>
      <w:r w:rsidR="00892CE7" w:rsidRPr="00103B78">
        <w:rPr>
          <w:szCs w:val="24"/>
        </w:rPr>
        <w:t xml:space="preserve">elý rozpočet kapitoly </w:t>
      </w:r>
      <w:r>
        <w:rPr>
          <w:szCs w:val="24"/>
        </w:rPr>
        <w:t>ministerstva</w:t>
      </w:r>
      <w:r w:rsidR="00892CE7" w:rsidRPr="00103B78">
        <w:rPr>
          <w:szCs w:val="24"/>
        </w:rPr>
        <w:t xml:space="preserve">  je aj v roku 202</w:t>
      </w:r>
      <w:r w:rsidR="00592351" w:rsidRPr="00103B78">
        <w:rPr>
          <w:szCs w:val="24"/>
        </w:rPr>
        <w:t>3</w:t>
      </w:r>
      <w:r w:rsidR="00892CE7" w:rsidRPr="00103B78">
        <w:rPr>
          <w:szCs w:val="24"/>
        </w:rPr>
        <w:t xml:space="preserve"> zostavovaný vo  forme programov so stanovenými zámermi a cieľmi. Zámery a vybrané ciele programov sú podľa § 2 písm. d) bod 2 zákona č. 523/2004   Z. z. o rozpočtových pravidlách verejnej správy a o zmene a doplnení niektorých zákonov (ďalej len „zákon o rozpočtových pravidlách“) záväznými ukazovateľmi štátneho rozpočtu.</w:t>
      </w:r>
      <w:r>
        <w:rPr>
          <w:szCs w:val="24"/>
        </w:rPr>
        <w:t xml:space="preserve"> UJS použije poskytnuté prostriedky dotácie v súlade so Zmluvou pri dodržaní záväzných ukazovateľov a podmienok v nej stanovených.</w:t>
      </w:r>
    </w:p>
    <w:p w:rsidR="008D7D96" w:rsidRDefault="008D7D9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</w:p>
    <w:p w:rsidR="008D7D96" w:rsidRDefault="008D7D9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>Návrh metodiky zo štátneho rozpočtu po prerokovaní poradným orgánom predkladá rektor UJS Akademickému senátu UJS na schválenie a návrh rozpisu na vyjadrenie. Následne predkladá rektor návrh metodiky a návrh rozpisu na schválenie Správnej rade UJS.</w:t>
      </w:r>
    </w:p>
    <w:p w:rsidR="008D7D96" w:rsidRDefault="008D7D9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</w:p>
    <w:p w:rsidR="00B55766" w:rsidRDefault="00B5576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</w:p>
    <w:p w:rsidR="00B55766" w:rsidRPr="00EA4737" w:rsidRDefault="00EA4737" w:rsidP="00A028D3">
      <w:pPr>
        <w:pStyle w:val="odsek"/>
        <w:numPr>
          <w:ilvl w:val="0"/>
          <w:numId w:val="0"/>
        </w:numPr>
        <w:spacing w:before="0" w:after="0"/>
        <w:rPr>
          <w:b/>
          <w:i/>
          <w:szCs w:val="24"/>
        </w:rPr>
      </w:pPr>
      <w:r w:rsidRPr="00EA4737">
        <w:rPr>
          <w:b/>
          <w:i/>
          <w:szCs w:val="24"/>
        </w:rPr>
        <w:t>Členenie dotácie</w:t>
      </w:r>
    </w:p>
    <w:p w:rsidR="00B55766" w:rsidRPr="00103B78" w:rsidRDefault="00B55766" w:rsidP="00A028D3">
      <w:pPr>
        <w:pStyle w:val="odsek"/>
        <w:numPr>
          <w:ilvl w:val="0"/>
          <w:numId w:val="0"/>
        </w:numPr>
        <w:spacing w:before="0" w:after="0"/>
        <w:rPr>
          <w:szCs w:val="24"/>
        </w:rPr>
      </w:pPr>
    </w:p>
    <w:p w:rsidR="000D6213" w:rsidRPr="00103B78" w:rsidRDefault="00975272" w:rsidP="00BE7568">
      <w:pPr>
        <w:pStyle w:val="odsek-pismeno"/>
        <w:numPr>
          <w:ilvl w:val="0"/>
          <w:numId w:val="0"/>
        </w:numPr>
        <w:spacing w:before="0"/>
        <w:ind w:left="142"/>
        <w:rPr>
          <w:szCs w:val="24"/>
        </w:rPr>
      </w:pPr>
      <w:r w:rsidRPr="00103B78">
        <w:rPr>
          <w:szCs w:val="24"/>
        </w:rPr>
        <w:t>Na základe</w:t>
      </w:r>
      <w:r w:rsidR="00B55766">
        <w:rPr>
          <w:szCs w:val="24"/>
        </w:rPr>
        <w:t xml:space="preserve"> rozpisu štátnej dotácie VVŠ na rok 2023 a na základe dotačnej zmluvy </w:t>
      </w:r>
      <w:r w:rsidR="00030D74">
        <w:rPr>
          <w:szCs w:val="24"/>
        </w:rPr>
        <w:t xml:space="preserve">a dodatku č. 1 </w:t>
      </w:r>
      <w:r w:rsidR="00B55766">
        <w:rPr>
          <w:szCs w:val="24"/>
        </w:rPr>
        <w:t>ministerstvo schválilo</w:t>
      </w:r>
      <w:r w:rsidRPr="00103B78">
        <w:rPr>
          <w:szCs w:val="24"/>
        </w:rPr>
        <w:t xml:space="preserve"> </w:t>
      </w:r>
      <w:r w:rsidR="00B55766">
        <w:rPr>
          <w:szCs w:val="24"/>
        </w:rPr>
        <w:t xml:space="preserve">UJS </w:t>
      </w:r>
      <w:r w:rsidR="00BE7568" w:rsidRPr="00103B78">
        <w:rPr>
          <w:szCs w:val="24"/>
        </w:rPr>
        <w:t xml:space="preserve"> </w:t>
      </w:r>
      <w:r w:rsidR="00BE7568" w:rsidRPr="00103B78">
        <w:rPr>
          <w:b/>
          <w:szCs w:val="24"/>
        </w:rPr>
        <w:t>d</w:t>
      </w:r>
      <w:r w:rsidR="000D6213" w:rsidRPr="00103B78">
        <w:rPr>
          <w:b/>
          <w:szCs w:val="24"/>
        </w:rPr>
        <w:t>otáci</w:t>
      </w:r>
      <w:r w:rsidR="00B55766">
        <w:rPr>
          <w:b/>
          <w:szCs w:val="24"/>
        </w:rPr>
        <w:t>u</w:t>
      </w:r>
      <w:r w:rsidR="000D6213" w:rsidRPr="00103B78">
        <w:rPr>
          <w:b/>
          <w:szCs w:val="24"/>
        </w:rPr>
        <w:t xml:space="preserve"> na rok 202</w:t>
      </w:r>
      <w:r w:rsidR="00BE7568" w:rsidRPr="00103B78">
        <w:rPr>
          <w:b/>
          <w:szCs w:val="24"/>
        </w:rPr>
        <w:t>3</w:t>
      </w:r>
      <w:r w:rsidR="00B55766">
        <w:rPr>
          <w:b/>
          <w:szCs w:val="24"/>
        </w:rPr>
        <w:t xml:space="preserve"> v objeme 5 6</w:t>
      </w:r>
      <w:r w:rsidR="00030D74">
        <w:rPr>
          <w:b/>
          <w:szCs w:val="24"/>
        </w:rPr>
        <w:t>27</w:t>
      </w:r>
      <w:r w:rsidR="00B55766">
        <w:rPr>
          <w:b/>
          <w:szCs w:val="24"/>
        </w:rPr>
        <w:t> </w:t>
      </w:r>
      <w:r w:rsidR="00030D74">
        <w:rPr>
          <w:b/>
          <w:szCs w:val="24"/>
        </w:rPr>
        <w:t>992</w:t>
      </w:r>
      <w:r w:rsidR="00B55766">
        <w:rPr>
          <w:b/>
          <w:szCs w:val="24"/>
        </w:rPr>
        <w:t>,- EUR nasledovne:</w:t>
      </w:r>
    </w:p>
    <w:tbl>
      <w:tblPr>
        <w:tblW w:w="9937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8"/>
        <w:gridCol w:w="3371"/>
        <w:gridCol w:w="2928"/>
      </w:tblGrid>
      <w:tr w:rsidR="00B55766" w:rsidRPr="00103B78" w:rsidTr="00B55766">
        <w:trPr>
          <w:trHeight w:val="556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Programová štruktúra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 Eur)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B55766" w:rsidP="0088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otácia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 Eur)</w:t>
            </w:r>
          </w:p>
        </w:tc>
      </w:tr>
      <w:tr w:rsidR="00B55766" w:rsidRPr="00103B78" w:rsidTr="00B55766">
        <w:trPr>
          <w:trHeight w:val="783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Podprogram 077 11 </w:t>
            </w:r>
          </w:p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- dotácia na uskutočňovanie akreditovaných študijných programov </w:t>
            </w:r>
          </w:p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a zabezpečenie prevádzky  UJS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4 105 135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3 323 030</w:t>
            </w:r>
          </w:p>
        </w:tc>
      </w:tr>
      <w:tr w:rsidR="00B55766" w:rsidRPr="00103B78" w:rsidTr="00B55766">
        <w:trPr>
          <w:trHeight w:val="528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Podprogram 077 12</w:t>
            </w:r>
          </w:p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- dotácia na výskumnú, vývojovú alebo umeleckú činnosť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030D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993 686</w:t>
            </w:r>
          </w:p>
        </w:tc>
      </w:tr>
      <w:tr w:rsidR="00B55766" w:rsidRPr="00103B78" w:rsidTr="00B55766">
        <w:trPr>
          <w:trHeight w:val="396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Podprogram 077 13 </w:t>
            </w:r>
          </w:p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dotácia na rozvoj UJS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766" w:rsidRPr="00103B78" w:rsidTr="00B55766">
        <w:trPr>
          <w:trHeight w:val="585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Podprogram 077 15</w:t>
            </w:r>
          </w:p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- dotácia na sociálnu podporu 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študentov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466 617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481 368</w:t>
            </w:r>
          </w:p>
        </w:tc>
      </w:tr>
      <w:tr w:rsidR="00B55766" w:rsidRPr="00103B78" w:rsidTr="00B55766">
        <w:trPr>
          <w:trHeight w:val="582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077  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celkom</w:t>
            </w:r>
          </w:p>
          <w:p w:rsidR="00B55766" w:rsidRPr="00103B78" w:rsidRDefault="00B55766" w:rsidP="00BB3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- dotácia na vysokoškolské vzdelávanie a vedu, sociálnu podporu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5 6</w:t>
            </w:r>
            <w:r w:rsidR="00030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7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95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4 798 084</w:t>
            </w:r>
          </w:p>
        </w:tc>
      </w:tr>
    </w:tbl>
    <w:p w:rsidR="0032461E" w:rsidRPr="00103B78" w:rsidRDefault="0032461E" w:rsidP="00BB3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B78">
        <w:rPr>
          <w:rFonts w:ascii="Times New Roman" w:hAnsi="Times New Roman" w:cs="Times New Roman"/>
          <w:b/>
          <w:sz w:val="24"/>
          <w:szCs w:val="24"/>
        </w:rPr>
        <w:t>Účelová dotácia:</w:t>
      </w:r>
    </w:p>
    <w:tbl>
      <w:tblPr>
        <w:tblW w:w="9937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7"/>
        <w:gridCol w:w="3320"/>
        <w:gridCol w:w="3020"/>
      </w:tblGrid>
      <w:tr w:rsidR="00B55766" w:rsidRPr="00103B78" w:rsidTr="00B55766">
        <w:trPr>
          <w:trHeight w:val="242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Podpora študentov so špecifickými potrebami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6 118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2 103</w:t>
            </w:r>
          </w:p>
        </w:tc>
      </w:tr>
      <w:tr w:rsidR="00B55766" w:rsidRPr="00103B78" w:rsidTr="00B55766">
        <w:trPr>
          <w:trHeight w:val="245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Príspevok na formačné praxe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34 216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34 216</w:t>
            </w:r>
          </w:p>
        </w:tc>
      </w:tr>
      <w:tr w:rsidR="00B55766" w:rsidRPr="00103B78" w:rsidTr="00B55766">
        <w:trPr>
          <w:trHeight w:val="266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Príspevok na pedagogické praxe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24 989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</w:p>
        </w:tc>
      </w:tr>
      <w:tr w:rsidR="00B55766" w:rsidRPr="00103B78" w:rsidTr="00B55766">
        <w:trPr>
          <w:trHeight w:val="254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Sociálne štipendiá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45 179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66" w:rsidRPr="00103B78" w:rsidTr="00B55766">
        <w:trPr>
          <w:trHeight w:val="392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Motivačné štipendiá podľa §96a, ods.1,pís.b)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69 250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71 600</w:t>
            </w:r>
          </w:p>
        </w:tc>
      </w:tr>
      <w:tr w:rsidR="00B55766" w:rsidRPr="00103B78" w:rsidTr="00B55766">
        <w:trPr>
          <w:trHeight w:val="402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Motivačné štipendiá podľa §96a, ods.1,pís.a)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16 470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50 040</w:t>
            </w:r>
          </w:p>
        </w:tc>
      </w:tr>
      <w:tr w:rsidR="00B55766" w:rsidRPr="00103B78" w:rsidTr="00B55766">
        <w:trPr>
          <w:trHeight w:val="254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Príspevky na stravu študentom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5 803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1 934</w:t>
            </w:r>
          </w:p>
        </w:tc>
      </w:tr>
      <w:tr w:rsidR="00B55766" w:rsidRPr="00103B78" w:rsidTr="00B55766">
        <w:trPr>
          <w:trHeight w:val="259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Príspevky na ŠD a ŠJ (mzdy, odvody, TaS)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297 090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270 281</w:t>
            </w:r>
          </w:p>
        </w:tc>
      </w:tr>
      <w:tr w:rsidR="00B55766" w:rsidRPr="00103B78" w:rsidTr="00B55766">
        <w:trPr>
          <w:trHeight w:val="297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 xml:space="preserve">Príspevky na kultúrne, športové aktivity a UPC </w:t>
            </w: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8 835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Pr="00103B78" w:rsidRDefault="00880C60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8 813</w:t>
            </w:r>
          </w:p>
        </w:tc>
      </w:tr>
      <w:tr w:rsidR="00B55766" w:rsidRPr="00103B78" w:rsidTr="00B55766">
        <w:trPr>
          <w:trHeight w:val="274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Športové aktivity VS SPARTAK TJ, TJK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66" w:rsidRPr="00103B78" w:rsidRDefault="00B55766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8">
              <w:rPr>
                <w:rFonts w:ascii="Times New Roman" w:hAnsi="Times New Roman" w:cs="Times New Roman"/>
                <w:sz w:val="24"/>
                <w:szCs w:val="24"/>
              </w:rPr>
              <w:t>7 883 + 16 107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766" w:rsidRDefault="00483ECB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6 088</w:t>
            </w:r>
          </w:p>
          <w:p w:rsidR="00483ECB" w:rsidRPr="00103B78" w:rsidRDefault="00483ECB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CB" w:rsidRPr="00103B78" w:rsidTr="00B55766">
        <w:trPr>
          <w:trHeight w:val="274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ECB" w:rsidRPr="00103B78" w:rsidRDefault="00483ECB" w:rsidP="00BB3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Excelentné pracoviská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ECB" w:rsidRPr="00103B78" w:rsidRDefault="00030D74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11 980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ECB" w:rsidRDefault="00483ECB" w:rsidP="00BB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17 877</w:t>
            </w:r>
          </w:p>
        </w:tc>
      </w:tr>
    </w:tbl>
    <w:p w:rsidR="0032461E" w:rsidRDefault="0032461E" w:rsidP="00BB3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766" w:rsidRDefault="00B55766" w:rsidP="00BB3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V porovnaní s rokom 2022 nastali pre rok 2023 v metodike rozpisu finančných prostriedkov najmä nasledujúce zmeny;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a) zníženie dotácie pre rok 2023 oproti roku 2022 v oblasti osobných výdavkov, ktoré zohľadňuje opatrenia z Revízie výdavkov zamestnanosti a odmeňovania vo verejnej správe (UHP) o sumu 27 179 423 €), a zároveň   navýšenie prostredníctvom transferu verejným vysokým školám  v sume 27,0 mil. eur na výkonnostné odmeňovanie; </w:t>
      </w:r>
    </w:p>
    <w:p w:rsidR="00B55766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b) zvýšenie dotácie pre rok 2023 oproti roku 2022 na programe 077 určenej na valorizáciu platových taríf zamestnancov verejných vysokých škôl vyplývajúcu z kolektívneho vyjednávania od 1.1.2023 a od 1.9.2023</w:t>
      </w:r>
      <w:r w:rsidR="00285416">
        <w:rPr>
          <w:szCs w:val="24"/>
        </w:rPr>
        <w:t xml:space="preserve"> nasledovne:</w:t>
      </w:r>
    </w:p>
    <w:p w:rsidR="00285416" w:rsidRDefault="00285416" w:rsidP="00285416">
      <w:pPr>
        <w:pStyle w:val="odsek"/>
        <w:numPr>
          <w:ilvl w:val="0"/>
          <w:numId w:val="0"/>
        </w:numPr>
        <w:spacing w:before="0" w:after="0"/>
      </w:pPr>
      <w:r w:rsidRPr="00D62B6E">
        <w:t>- dopad valorizácie platových</w:t>
      </w:r>
      <w:r>
        <w:t xml:space="preserve"> tried o 3 % z roku 2022</w:t>
      </w:r>
    </w:p>
    <w:p w:rsidR="00285416" w:rsidRPr="00D62B6E" w:rsidRDefault="00285416" w:rsidP="00285416">
      <w:pPr>
        <w:pStyle w:val="odsek"/>
        <w:numPr>
          <w:ilvl w:val="0"/>
          <w:numId w:val="0"/>
        </w:numPr>
        <w:spacing w:before="0" w:after="0"/>
      </w:pPr>
      <w:r w:rsidRPr="00D62B6E">
        <w:t>- valorizácie platových tried zamestnancov verejných vysokých škôl od 1.1.2023;</w:t>
      </w:r>
    </w:p>
    <w:p w:rsidR="00285416" w:rsidRPr="00D62B6E" w:rsidRDefault="00285416" w:rsidP="00285416">
      <w:pPr>
        <w:pStyle w:val="odsek"/>
        <w:numPr>
          <w:ilvl w:val="0"/>
          <w:numId w:val="0"/>
        </w:numPr>
        <w:spacing w:before="0" w:after="0"/>
      </w:pPr>
      <w:r w:rsidRPr="00D62B6E">
        <w:t>- valorizácie platových tried zamestnancov verejných vysokých škôl od 1.9.2023;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c) zvýšenie celkového objemu prostriedkov na tovary a služby na podprograme 077 11 o sumu 4 523 022 eur na 59 588 761 eur – zvýšenie o 8,2 % oproti roku 2022 z toho: 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- zvýšenie základného príspevku na prevádzku vysokých škôl o sumu 20 000 eur na 120 000 eur – zvýšenie o 20 % oproti roku 2022 celkovo o sumu 400 000 eur; 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lastRenderedPageBreak/>
        <w:t xml:space="preserve">- zvýšenie príspevku prideľovaného podľa úspešnosti v získavaní zahraničných grantov o sumu 100 000 eur na 1 300 000 eur – zvýšenie o 8,3 % oproti roku 2022;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- zvýšenie objemu finančných prostriedkov na výdavky vysokých škôl na pedagogické praxe ďalšie evidované aktivity vysokých škôl o sumu 390 258 eur na 3 504 130 eur – zvýšenie o 35 % oproti roku 2022;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- zvýšenie objemu finančných prostriedkov na zohľadnenie podľa osobitných kritérií vo vybraných študijných odboroch o sumu  500 000 eur na 5 500 000 eur – zvýšenie o 10 % oproti roku 2022;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- zvýšenie celkového objemu finančných prostriedkov vyhradených na tovary a služby pre špecifiká o sumu  488 180 eur na  5 670 739 eur – zvýšenie  o 9,4 % oproti roku 2022;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- zvýšenie objemu prostriedkov na tovary a služby rozpisovaný podľa výkonu o sumu 3 389 945 eur – zvýšenie o 8,2 % oproti roku 2022;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d) zvýšenie objemu finančných prostriedkov pre vysoké školy určeného na výskum a vývoj na podprograme 077 12 01 z dôvodu valorizácie  platových taríf,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e) znižuje sa objem finančných prostriedkov na podporu špičkových tímov na podprograme 077 12 01 z 1 116 000 eur na 350 000 eur;</w:t>
      </w:r>
    </w:p>
    <w:p w:rsidR="00B55766" w:rsidRPr="00103B78" w:rsidRDefault="00B55766" w:rsidP="00B55766">
      <w:pPr>
        <w:pStyle w:val="odsek-pismeno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f) neúčelovo sa určuje podiel na excelentné výskumné pracoviská na podprograme 077 12 01 vo výške 11,8 % z celkového objemu finančných prostriedkov určených na vedu a výskum podľa výkonu vo vede</w:t>
      </w:r>
    </w:p>
    <w:p w:rsidR="00B55766" w:rsidRPr="00103B78" w:rsidRDefault="00B55766" w:rsidP="00B55766">
      <w:pPr>
        <w:pStyle w:val="odsek-pismeno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g) ruší sa podiel rozpisu podľa komplexnej akreditácie na podprograme 077 12 01, pričom sa tento  podiel bude rozpisovať podľa priemerného 6 ročného výkonu vo vede;   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>h) v rámci dotácie na rozvoj na podprograme 077 13 dochádza k zníženiu  alokácie finančných prostriedkov na 3,6 mil. Eur;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 xml:space="preserve">i) zvýšenie príspevku na ubytovaných študentov verejných vysokých škôl v študentských domovoch na podprograme 077 15 03 z 7 eur na 10 eur, zvýšenie o sumu 1 586 810 eur – zvýšenie o 43 % oproti roku 2022.  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ab/>
        <w:t>V rámci dotácie na uskutočňovanie akreditovaných študijných programov sa v roku 2023 poskytujú kapitálové transfery na realizáciu stavieb, nevyhnutné rekonštrukcie, odstraňovanie havárií a v odôvodnených prípadoch na vysporiadanie vlastníckych vzťahov k pozemkom, a to v sume 7 900 000 €. Obstarávanie strojov a zariadení nahradzujúcich zastarané alebo opotrebované zariadenia potrebné pre zabezpečenie výučby vysoké školy realizujú z bežných výdavkov v rozsahu výšky fondu reprodukcie (§ 16a ods. 4 a § 17 ods. 3 zákona).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ab/>
        <w:t>Pri príprave a realizácii investičnej činnosti sa postupuje podľa § 19a zákona č. 523/2004 Z. z. o rozpočtových pravidlách verejnej správy a o zmene a doplnení niektorých zákonov a uznesenia vlády č. 636/2022 zo dňa 14. 10. 2022 k návrhu rozpočtu verejnej správy na roky 2023 až 2025.</w:t>
      </w:r>
    </w:p>
    <w:p w:rsidR="00B55766" w:rsidRPr="00103B78" w:rsidRDefault="00B55766" w:rsidP="00B55766">
      <w:pPr>
        <w:pStyle w:val="odsek"/>
        <w:numPr>
          <w:ilvl w:val="0"/>
          <w:numId w:val="0"/>
        </w:numPr>
        <w:spacing w:before="0" w:after="0"/>
        <w:rPr>
          <w:szCs w:val="24"/>
        </w:rPr>
      </w:pPr>
      <w:r w:rsidRPr="00103B78">
        <w:rPr>
          <w:szCs w:val="24"/>
        </w:rPr>
        <w:tab/>
        <w:t>Pri určovaní výšky kapitálových transferov na realizáciu stavieb, rekonštrukcie a odstraňovanie havárií sa prihliada na</w:t>
      </w:r>
    </w:p>
    <w:p w:rsidR="00B55766" w:rsidRPr="00103B78" w:rsidRDefault="00B55766" w:rsidP="00B55766">
      <w:pPr>
        <w:pStyle w:val="odsek-pismeno"/>
        <w:numPr>
          <w:ilvl w:val="0"/>
          <w:numId w:val="8"/>
        </w:numPr>
        <w:spacing w:before="0" w:after="0"/>
        <w:ind w:left="839" w:hanging="357"/>
        <w:rPr>
          <w:szCs w:val="24"/>
        </w:rPr>
      </w:pPr>
      <w:r w:rsidRPr="00103B78">
        <w:rPr>
          <w:szCs w:val="24"/>
        </w:rPr>
        <w:t>naliehavosť rekonštrukcie resp. odstránenia havárie</w:t>
      </w:r>
      <w:r w:rsidRPr="00103B78">
        <w:rPr>
          <w:rStyle w:val="Odkaznapoznmkupodiarou"/>
          <w:szCs w:val="24"/>
        </w:rPr>
        <w:t>14</w:t>
      </w:r>
      <w:r w:rsidRPr="00103B78">
        <w:rPr>
          <w:szCs w:val="24"/>
        </w:rPr>
        <w:t>) a na možnosti vysokej školy realizovať financovanie z už pridelených finančných prostriedkov, alebo z vlastných finančných prostriedkov,</w:t>
      </w:r>
    </w:p>
    <w:p w:rsidR="00B55766" w:rsidRPr="00103B78" w:rsidRDefault="00B55766" w:rsidP="00B55766">
      <w:pPr>
        <w:pStyle w:val="odsek-pismeno"/>
        <w:numPr>
          <w:ilvl w:val="0"/>
          <w:numId w:val="8"/>
        </w:numPr>
        <w:spacing w:before="0" w:after="0"/>
        <w:ind w:left="839" w:hanging="357"/>
        <w:rPr>
          <w:szCs w:val="24"/>
        </w:rPr>
      </w:pPr>
      <w:r w:rsidRPr="00103B78">
        <w:rPr>
          <w:szCs w:val="24"/>
        </w:rPr>
        <w:t xml:space="preserve">stav pripravenosti, prípadne rozostavanosti akcie, na ktorú vysoká škola požaduje finančné prostriedky, </w:t>
      </w:r>
    </w:p>
    <w:p w:rsidR="00B55766" w:rsidRPr="00103B78" w:rsidRDefault="00B55766" w:rsidP="00B55766">
      <w:pPr>
        <w:pStyle w:val="odsek-pismeno"/>
        <w:numPr>
          <w:ilvl w:val="0"/>
          <w:numId w:val="8"/>
        </w:numPr>
        <w:spacing w:before="0" w:after="0"/>
        <w:ind w:left="839" w:hanging="357"/>
        <w:rPr>
          <w:szCs w:val="24"/>
        </w:rPr>
      </w:pPr>
      <w:r w:rsidRPr="00103B78">
        <w:rPr>
          <w:szCs w:val="24"/>
        </w:rPr>
        <w:t>objem kapitálových výdavkov poskytnutých danej vysokej škole v predchádzajúcom období,</w:t>
      </w:r>
    </w:p>
    <w:p w:rsidR="00B55766" w:rsidRPr="00103B78" w:rsidRDefault="00B55766" w:rsidP="00B55766">
      <w:pPr>
        <w:pStyle w:val="odsek-pismeno"/>
        <w:numPr>
          <w:ilvl w:val="0"/>
          <w:numId w:val="8"/>
        </w:numPr>
        <w:spacing w:before="0"/>
        <w:ind w:left="839" w:hanging="357"/>
        <w:rPr>
          <w:szCs w:val="24"/>
        </w:rPr>
      </w:pPr>
      <w:r w:rsidRPr="00103B78">
        <w:rPr>
          <w:szCs w:val="24"/>
        </w:rPr>
        <w:t>súčasné priestorové vybavenie vysokej školy.</w:t>
      </w:r>
    </w:p>
    <w:p w:rsidR="00B55766" w:rsidRDefault="00B55766" w:rsidP="00BB3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3A" w:rsidRPr="00D62B6E" w:rsidRDefault="00CA073A" w:rsidP="00CA073A">
      <w:pPr>
        <w:pStyle w:val="Nadpis3vavomal"/>
        <w:rPr>
          <w:i/>
          <w:lang w:val="sk-SK"/>
        </w:rPr>
      </w:pPr>
      <w:r w:rsidRPr="00D62B6E">
        <w:rPr>
          <w:i/>
          <w:lang w:val="sk-SK"/>
        </w:rPr>
        <w:t xml:space="preserve"> Dotácia na uskutočňovanie akreditovaných študijných programov ( podprogram 07711)</w:t>
      </w:r>
    </w:p>
    <w:p w:rsidR="00CA073A" w:rsidRPr="00D62B6E" w:rsidRDefault="00CA073A" w:rsidP="00CA073A">
      <w:pPr>
        <w:pStyle w:val="odsek"/>
        <w:numPr>
          <w:ilvl w:val="0"/>
          <w:numId w:val="0"/>
        </w:numPr>
      </w:pPr>
      <w:r>
        <w:tab/>
      </w:r>
      <w:r w:rsidRPr="00D62B6E">
        <w:t>Dotácia na uskutočňovanie akreditovaných študijných programov sa poskytuje na základe § 89 ods. 4 zákona, ktorý uvádza: Pri určovaní dotácie na uskutočňovanie akreditovaných študijných programov je rozhodujúci počet študentov, počet absolventov, ekonomická náročnosť uskutočňovaných študijných programov, kvalita, uplatnenie  absolventov v praxi a ďalšie hľadiská súvisiace so zabezpečením výučby.</w:t>
      </w:r>
    </w:p>
    <w:p w:rsidR="00CA073A" w:rsidRPr="00D62B6E" w:rsidRDefault="00CA073A" w:rsidP="00CA073A">
      <w:pPr>
        <w:pStyle w:val="odsek"/>
        <w:numPr>
          <w:ilvl w:val="0"/>
          <w:numId w:val="0"/>
        </w:numPr>
      </w:pPr>
      <w:r w:rsidRPr="00D62B6E">
        <w:lastRenderedPageBreak/>
        <w:t xml:space="preserve">Výdavky na uskutočňovanie akreditovaných študijných programov sú rozpočtované v rámci podprogramu </w:t>
      </w:r>
      <w:r w:rsidRPr="00637591">
        <w:rPr>
          <w:b/>
          <w:i/>
          <w:iCs/>
        </w:rPr>
        <w:t>077 11 – Poskytovanie vysokoškolského vzdelávania a zabezpečenie prevádzky vysokých škôl.</w:t>
      </w:r>
      <w:r w:rsidRPr="00D62B6E">
        <w:t xml:space="preserve"> Prostredníctvom rozpisu dotácie na uskutočňovanie akreditovaných študijných programov získa </w:t>
      </w:r>
      <w:r>
        <w:t>UJS</w:t>
      </w:r>
      <w:r w:rsidRPr="00D62B6E">
        <w:t xml:space="preserve"> aj hlavnú časť dotácie na prevádzku</w:t>
      </w:r>
      <w:r w:rsidRPr="00D62B6E">
        <w:rPr>
          <w:b/>
        </w:rPr>
        <w:t xml:space="preserve"> </w:t>
      </w:r>
      <w:r w:rsidRPr="00D62B6E">
        <w:t>(výhradne formou bežných transferov).</w:t>
      </w:r>
    </w:p>
    <w:p w:rsidR="00CA073A" w:rsidRPr="00D62B6E" w:rsidRDefault="00637591" w:rsidP="00637591">
      <w:pPr>
        <w:pStyle w:val="odsek"/>
        <w:numPr>
          <w:ilvl w:val="0"/>
          <w:numId w:val="0"/>
        </w:numPr>
      </w:pPr>
      <w:r>
        <w:t>UJS</w:t>
      </w:r>
      <w:r w:rsidR="00CA073A" w:rsidRPr="00D62B6E">
        <w:t xml:space="preserve"> dostáva dotáciu na uskutočňovanie akreditovaných študijných programov vo forme bežného transferu alebo kapitálového transferu. S výnimkou účelovo určených finančných prostriedkov a záväzného ukazovateľa maximálnej výšky celkového objemu miezd nie je vnútorná štruktúra dotácie z hľadiska jej použitia </w:t>
      </w:r>
      <w:r>
        <w:t>z</w:t>
      </w:r>
      <w:r w:rsidR="00CA073A" w:rsidRPr="00D62B6E">
        <w:t>áväzne určená. Pri určovaní výšky dotácie na uskutočňovanie akreditovaných študijných programo</w:t>
      </w:r>
      <w:r>
        <w:t>v UJS</w:t>
      </w:r>
      <w:r w:rsidR="00CA073A" w:rsidRPr="00D62B6E">
        <w:t xml:space="preserve"> použ</w:t>
      </w:r>
      <w:r>
        <w:t>ije</w:t>
      </w:r>
      <w:r w:rsidR="00CA073A" w:rsidRPr="00D62B6E">
        <w:t xml:space="preserve"> vnútorn</w:t>
      </w:r>
      <w:r>
        <w:t>ú</w:t>
      </w:r>
      <w:r w:rsidR="00CA073A" w:rsidRPr="00D62B6E">
        <w:t xml:space="preserve"> štruktúr</w:t>
      </w:r>
      <w:r>
        <w:t>u</w:t>
      </w:r>
      <w:r w:rsidR="00CA073A" w:rsidRPr="00D62B6E">
        <w:t>:</w:t>
      </w:r>
    </w:p>
    <w:p w:rsidR="00CA073A" w:rsidRPr="00D62B6E" w:rsidRDefault="00CA073A" w:rsidP="00EA4737">
      <w:pPr>
        <w:pStyle w:val="odsek-pismeno"/>
        <w:numPr>
          <w:ilvl w:val="0"/>
          <w:numId w:val="9"/>
        </w:numPr>
        <w:spacing w:before="0" w:after="0"/>
        <w:ind w:left="839" w:hanging="357"/>
      </w:pPr>
      <w:r w:rsidRPr="00D62B6E">
        <w:t xml:space="preserve">dotácia na mzdy a poistné, </w:t>
      </w:r>
    </w:p>
    <w:p w:rsidR="00CA073A" w:rsidRPr="00D62B6E" w:rsidRDefault="00CA073A" w:rsidP="00EA4737">
      <w:pPr>
        <w:pStyle w:val="odsek-pismeno"/>
        <w:numPr>
          <w:ilvl w:val="0"/>
          <w:numId w:val="9"/>
        </w:numPr>
        <w:spacing w:before="0" w:after="0"/>
        <w:ind w:left="839" w:hanging="357"/>
      </w:pPr>
      <w:r w:rsidRPr="00D62B6E">
        <w:t>dotácia na tovary a služby,</w:t>
      </w:r>
    </w:p>
    <w:p w:rsidR="00CA073A" w:rsidRPr="00D62B6E" w:rsidRDefault="00CA073A" w:rsidP="00EA4737">
      <w:pPr>
        <w:pStyle w:val="odsek-pismeno"/>
        <w:numPr>
          <w:ilvl w:val="0"/>
          <w:numId w:val="9"/>
        </w:numPr>
        <w:spacing w:before="0" w:after="0"/>
        <w:ind w:left="839" w:hanging="357"/>
      </w:pPr>
      <w:bookmarkStart w:id="2" w:name="_Ref281944590"/>
      <w:r w:rsidRPr="00D62B6E">
        <w:t>dotácia na špecifiká,</w:t>
      </w:r>
    </w:p>
    <w:p w:rsidR="00CA073A" w:rsidRPr="00D62B6E" w:rsidRDefault="00CA073A" w:rsidP="00EA4737">
      <w:pPr>
        <w:pStyle w:val="odsek-pismeno"/>
        <w:numPr>
          <w:ilvl w:val="0"/>
          <w:numId w:val="9"/>
        </w:numPr>
        <w:spacing w:before="0" w:after="0"/>
        <w:ind w:left="839" w:hanging="357"/>
      </w:pPr>
      <w:r w:rsidRPr="00D62B6E">
        <w:t>dotácia na kapitálové výdavky.</w:t>
      </w:r>
      <w:bookmarkEnd w:id="2"/>
    </w:p>
    <w:p w:rsidR="00CA073A" w:rsidRPr="00D62B6E" w:rsidRDefault="00CA073A" w:rsidP="00637591">
      <w:pPr>
        <w:pStyle w:val="odsek"/>
        <w:numPr>
          <w:ilvl w:val="0"/>
          <w:numId w:val="0"/>
        </w:numPr>
      </w:pPr>
      <w:r w:rsidRPr="00D62B6E">
        <w:t>Výsledná výška dotácie na uskutočňovanie akreditovaných študijných programov sa vypočíta ako súčet dotácií uvedených v písmenách a) až d) predchádzajúceho odseku.</w:t>
      </w:r>
    </w:p>
    <w:p w:rsidR="00CA073A" w:rsidRPr="00637591" w:rsidRDefault="00CA073A" w:rsidP="00CA073A">
      <w:pPr>
        <w:pStyle w:val="Nadpis7"/>
        <w:rPr>
          <w:rFonts w:ascii="Times New Roman" w:hAnsi="Times New Roman"/>
          <w:b/>
          <w:i w:val="0"/>
          <w:color w:val="auto"/>
          <w:sz w:val="24"/>
        </w:rPr>
      </w:pPr>
      <w:r w:rsidRPr="00637591">
        <w:rPr>
          <w:rFonts w:ascii="Times New Roman" w:hAnsi="Times New Roman"/>
          <w:b/>
        </w:rPr>
        <w:t xml:space="preserve"> </w:t>
      </w:r>
      <w:r w:rsidRPr="00637591">
        <w:rPr>
          <w:rFonts w:ascii="Times New Roman" w:hAnsi="Times New Roman"/>
          <w:b/>
          <w:color w:val="auto"/>
          <w:sz w:val="24"/>
        </w:rPr>
        <w:t xml:space="preserve">Určenie výšky dotácie na mzdy a poistné      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bookmarkStart w:id="3" w:name="_Ref338848135"/>
      <w:bookmarkStart w:id="4" w:name="_Ref282200865"/>
      <w:r w:rsidRPr="00D62B6E">
        <w:t>V rámci dotácie na mzdy sa vyčleňuje celková suma</w:t>
      </w:r>
      <w:r>
        <w:t> </w:t>
      </w:r>
      <w:r w:rsidR="00BB4D07" w:rsidRPr="00EA4737">
        <w:rPr>
          <w:b/>
        </w:rPr>
        <w:t>2 443</w:t>
      </w:r>
      <w:r w:rsidR="00FA1546" w:rsidRPr="00EA4737">
        <w:rPr>
          <w:b/>
        </w:rPr>
        <w:t> </w:t>
      </w:r>
      <w:r w:rsidR="00BB4D07" w:rsidRPr="00EA4737">
        <w:rPr>
          <w:b/>
        </w:rPr>
        <w:t>539</w:t>
      </w:r>
      <w:r w:rsidR="00FA1546" w:rsidRPr="00EA4737">
        <w:rPr>
          <w:b/>
        </w:rPr>
        <w:t>,-</w:t>
      </w:r>
      <w:r w:rsidRPr="00D62B6E">
        <w:rPr>
          <w:b/>
        </w:rPr>
        <w:t xml:space="preserve"> €</w:t>
      </w:r>
      <w:r w:rsidRPr="00D62B6E">
        <w:t>.</w:t>
      </w:r>
      <w:r w:rsidRPr="00D62B6E">
        <w:rPr>
          <w:b/>
        </w:rPr>
        <w:t xml:space="preserve"> </w:t>
      </w:r>
      <w:r w:rsidRPr="00D62B6E">
        <w:t>Výška dotácie na poistné je určená ako 35,2 % z dotácie na mzdy</w:t>
      </w:r>
      <w:r w:rsidR="00FA1546">
        <w:t xml:space="preserve"> (</w:t>
      </w:r>
      <w:r w:rsidR="00FA1546" w:rsidRPr="00EA4737">
        <w:rPr>
          <w:b/>
        </w:rPr>
        <w:t>860 126,-</w:t>
      </w:r>
      <w:r w:rsidR="00317B92" w:rsidRPr="00317B92">
        <w:rPr>
          <w:b/>
        </w:rPr>
        <w:t xml:space="preserve"> </w:t>
      </w:r>
      <w:r w:rsidR="00317B92" w:rsidRPr="00D62B6E">
        <w:rPr>
          <w:b/>
        </w:rPr>
        <w:t>€</w:t>
      </w:r>
      <w:r w:rsidR="00317B92">
        <w:rPr>
          <w:b/>
        </w:rPr>
        <w:t>)</w:t>
      </w:r>
      <w:r w:rsidRPr="00D62B6E">
        <w:t xml:space="preserve">. Pre valorizáciu platových taríf na podprograme 077 11 sa účelovo určuje suma </w:t>
      </w:r>
      <w:r w:rsidR="00317B92" w:rsidRPr="00EA4737">
        <w:rPr>
          <w:b/>
        </w:rPr>
        <w:t>588 706</w:t>
      </w:r>
      <w:r w:rsidR="00317B92">
        <w:t>,-</w:t>
      </w:r>
      <w:r w:rsidRPr="00D62B6E">
        <w:t xml:space="preserve"> eur, z toho: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r w:rsidRPr="00D62B6E">
        <w:t xml:space="preserve">- dopady 3 % valorizácie platových taríf pre pedagogických a nepedagogických zamestnancov v sume </w:t>
      </w:r>
      <w:r w:rsidR="00317B92">
        <w:t>104 333,-</w:t>
      </w:r>
      <w:r w:rsidRPr="00D62B6E">
        <w:t xml:space="preserve"> eur,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r w:rsidRPr="00D62B6E">
        <w:t>- valorizácia platových taríf od 1.1.2023 pre pedagogických zamestnancov</w:t>
      </w:r>
      <w:r>
        <w:t xml:space="preserve"> o 10 %</w:t>
      </w:r>
      <w:r w:rsidRPr="00D62B6E">
        <w:t xml:space="preserve"> je v sume </w:t>
      </w:r>
      <w:r w:rsidR="00317B92">
        <w:t>270 695,-</w:t>
      </w:r>
      <w:r w:rsidRPr="00D62B6E">
        <w:t xml:space="preserve"> eur,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r w:rsidRPr="00D62B6E">
        <w:t>- valorizácia platových taríf od 1.1.2023 pre nepedagogických zamestnancov</w:t>
      </w:r>
      <w:r>
        <w:t xml:space="preserve"> o 7 %</w:t>
      </w:r>
      <w:r w:rsidRPr="00D62B6E">
        <w:t xml:space="preserve"> je v sume </w:t>
      </w:r>
      <w:r w:rsidR="00317B92">
        <w:t>63 699,-</w:t>
      </w:r>
      <w:r w:rsidRPr="00D62B6E">
        <w:t xml:space="preserve"> eur,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r w:rsidRPr="00D62B6E">
        <w:t>- valorizácia platových taríf od 1.9.2023 pre pedagogických zamestnancov</w:t>
      </w:r>
      <w:r>
        <w:t xml:space="preserve"> o 12 %</w:t>
      </w:r>
      <w:r w:rsidRPr="00D62B6E">
        <w:t xml:space="preserve"> je v sume </w:t>
      </w:r>
      <w:r w:rsidR="00317B92">
        <w:t xml:space="preserve">117 862,- </w:t>
      </w:r>
      <w:r w:rsidRPr="00D62B6E">
        <w:t>eur,</w:t>
      </w:r>
    </w:p>
    <w:p w:rsidR="00CA073A" w:rsidRPr="00D62B6E" w:rsidRDefault="00CA073A" w:rsidP="00E96486">
      <w:pPr>
        <w:pStyle w:val="odsek"/>
        <w:numPr>
          <w:ilvl w:val="0"/>
          <w:numId w:val="0"/>
        </w:numPr>
        <w:spacing w:before="0" w:after="0"/>
      </w:pPr>
      <w:r w:rsidRPr="00D62B6E">
        <w:t>- valorizácia platových taríf od 1.9.2023 pre nepedagogických zamestnancov</w:t>
      </w:r>
      <w:r>
        <w:t xml:space="preserve"> o 10 %</w:t>
      </w:r>
      <w:r w:rsidRPr="00D62B6E">
        <w:t xml:space="preserve"> je v sume </w:t>
      </w:r>
      <w:r w:rsidR="00317B92">
        <w:t>32 117,-</w:t>
      </w:r>
      <w:r w:rsidRPr="00D62B6E">
        <w:t xml:space="preserve"> eur. </w:t>
      </w:r>
    </w:p>
    <w:p w:rsidR="00CA073A" w:rsidRDefault="00CA073A" w:rsidP="00E96486">
      <w:pPr>
        <w:pStyle w:val="odsek"/>
        <w:numPr>
          <w:ilvl w:val="0"/>
          <w:numId w:val="0"/>
        </w:numPr>
      </w:pPr>
      <w:bookmarkStart w:id="5" w:name="_Ref286586682"/>
      <w:bookmarkStart w:id="6" w:name="_Ref338850884"/>
      <w:bookmarkStart w:id="7" w:name="_Ref503763008"/>
      <w:bookmarkEnd w:id="3"/>
      <w:r w:rsidRPr="00E96486">
        <w:rPr>
          <w:b/>
        </w:rPr>
        <w:t>Časť dotácie na mzdy a poistné rozpísaná podľa publikačnej činnosti</w:t>
      </w:r>
      <w:r w:rsidRPr="00D62B6E">
        <w:t xml:space="preserve"> sa medzi jednotlivé</w:t>
      </w:r>
      <w:r w:rsidR="005D1D16">
        <w:t xml:space="preserve"> fakulty UJS</w:t>
      </w:r>
      <w:r w:rsidRPr="00D62B6E">
        <w:t xml:space="preserve"> rozpíše podľa ich podielu na celkovej publikačnej činnosti</w:t>
      </w:r>
      <w:r w:rsidR="005D1D16">
        <w:t xml:space="preserve"> univerzity</w:t>
      </w:r>
      <w:r w:rsidRPr="00D62B6E">
        <w:t xml:space="preserve">. Zohľadňuje sa publikačná činnosť doktorandov a zamestnancov vysokej školy zaznamenaná v centrálnom registri publikačnej činnosti (CREPČ) za obdobie rokov 2020 a 2021. Podiel </w:t>
      </w:r>
      <w:r w:rsidR="005D1D16">
        <w:t>UJS</w:t>
      </w:r>
      <w:r w:rsidRPr="00D62B6E">
        <w:t xml:space="preserve"> sa určí ako podiel prepočítaného počtu publikačných výstupov danej </w:t>
      </w:r>
      <w:r w:rsidR="005D1D16">
        <w:t>fakulty</w:t>
      </w:r>
      <w:r w:rsidRPr="00D62B6E">
        <w:t xml:space="preserve"> na celkovom prepočítanom počte publikačných výstupov v rámci jednotlivých skupín. Váha publikačného výstupu je uvedená </w:t>
      </w:r>
      <w:r w:rsidRPr="00EA4737">
        <w:rPr>
          <w:b/>
        </w:rPr>
        <w:t xml:space="preserve">v prílohe č. </w:t>
      </w:r>
      <w:r w:rsidR="00EA4737" w:rsidRPr="00EA4737">
        <w:rPr>
          <w:b/>
        </w:rPr>
        <w:t>1</w:t>
      </w:r>
      <w:r w:rsidRPr="00EA4737">
        <w:rPr>
          <w:b/>
        </w:rPr>
        <w:t xml:space="preserve"> metodiky</w:t>
      </w:r>
      <w:r w:rsidRPr="00D62B6E">
        <w:t xml:space="preserve">, používa sa váha </w:t>
      </w:r>
      <w:r w:rsidR="005D1D16">
        <w:t>D1 – pre dotáciu na uskutočňovanie akreditovaných študijných programov</w:t>
      </w:r>
      <w:r w:rsidRPr="00D62B6E">
        <w:t>.</w:t>
      </w:r>
      <w:bookmarkEnd w:id="4"/>
      <w:bookmarkEnd w:id="5"/>
      <w:bookmarkEnd w:id="6"/>
      <w:bookmarkEnd w:id="7"/>
    </w:p>
    <w:p w:rsidR="00CA073A" w:rsidRPr="00D62B6E" w:rsidRDefault="00CA073A" w:rsidP="00E96486">
      <w:pPr>
        <w:pStyle w:val="odsek"/>
        <w:numPr>
          <w:ilvl w:val="0"/>
          <w:numId w:val="0"/>
        </w:numPr>
      </w:pPr>
      <w:bookmarkStart w:id="8" w:name="_Ref281951226"/>
      <w:r w:rsidRPr="00D62B6E">
        <w:t xml:space="preserve">Výkon </w:t>
      </w:r>
      <w:r w:rsidR="00E96486">
        <w:t>fakúlt UJS</w:t>
      </w:r>
      <w:r w:rsidRPr="00D62B6E">
        <w:t xml:space="preserve"> podľa počtu študentov sa určuje ako súčin prepočítaného počtu študentov, koeficientu odboru (KO), koeficientu intenzity výskumnej činnosti (KIVČ) a koeficientu uplatnenia absolventov vysokej školy podľa odboru/študijného programu (KAP). </w:t>
      </w:r>
      <w:r w:rsidRPr="00D62B6E">
        <w:rPr>
          <w:noProof/>
        </w:rPr>
        <w:t>Do výkonu vysokej školy sa započítava aj časť odvodená od prepočítaného počtu absolventov v predchádzajúcom akademickom roku vynásobeného KO príslušného študijného odboru, KAP a KIVČ.</w:t>
      </w:r>
      <w:bookmarkEnd w:id="8"/>
      <w:r w:rsidRPr="00D62B6E">
        <w:t xml:space="preserve"> Podiel na výkone podľa študentov a absolventov študijných programov prvého stupňa sa zohľadní váhou 40,00 %, druhého stupňa váhou 38,74 %, tretieho stupňa váhou 12,03 % a príspevok na centrálnu administratívu váhou 9,23 %.</w:t>
      </w:r>
    </w:p>
    <w:p w:rsidR="00CA073A" w:rsidRPr="00D62B6E" w:rsidRDefault="00CA073A" w:rsidP="00CA073A">
      <w:pPr>
        <w:pStyle w:val="odsek"/>
      </w:pPr>
      <w:bookmarkStart w:id="9" w:name="_Ref230320548"/>
      <w:r w:rsidRPr="00D62B6E">
        <w:t xml:space="preserve">Pri výpočte </w:t>
      </w:r>
      <w:r w:rsidRPr="00D62B6E">
        <w:rPr>
          <w:b/>
          <w:bCs/>
        </w:rPr>
        <w:t xml:space="preserve">prepočítaného počtu študentov </w:t>
      </w:r>
      <w:r w:rsidRPr="00D62B6E">
        <w:t>(PPŠ)</w:t>
      </w:r>
      <w:r w:rsidR="00C83D23">
        <w:t xml:space="preserve"> fakulty</w:t>
      </w:r>
      <w:r w:rsidRPr="00D62B6E">
        <w:t xml:space="preserve"> sa vychádza z počtu študentov v akreditovaných študijných programoch k 31. októbru 2021, v prípade absolventov sa zohľadňuje </w:t>
      </w:r>
      <w:r w:rsidRPr="00D62B6E">
        <w:lastRenderedPageBreak/>
        <w:t>počet riadne skončených študentov v akademickom roku 2020/2021  podľa výstupu z centrálneho registra študentov (CRŠ). Na výpočet prepočítaného počtu študentov sa používajú koeficienty, ktorých hodnota závisí od formy a stupňa:</w:t>
      </w:r>
      <w:bookmarkEnd w:id="9"/>
    </w:p>
    <w:p w:rsidR="00CA073A" w:rsidRPr="00D62B6E" w:rsidRDefault="00CA073A" w:rsidP="00654212">
      <w:pPr>
        <w:pStyle w:val="Zoznam1"/>
      </w:pPr>
      <w:r w:rsidRPr="00D62B6E">
        <w:t>koeficienty pre dennú formu štúdia: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5103"/>
      </w:tblGrid>
      <w:tr w:rsidR="00CA073A" w:rsidRPr="00D62B6E" w:rsidTr="00B223F7">
        <w:tc>
          <w:tcPr>
            <w:tcW w:w="3652" w:type="dxa"/>
          </w:tcPr>
          <w:p w:rsidR="00CA073A" w:rsidRPr="00D62B6E" w:rsidRDefault="00CA073A" w:rsidP="00654212">
            <w:pPr>
              <w:pStyle w:val="texttabulkahlavicka"/>
            </w:pPr>
            <w:r w:rsidRPr="00D62B6E">
              <w:t>stupeň štúdia</w:t>
            </w: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hlavicka"/>
            </w:pPr>
            <w:r w:rsidRPr="00D62B6E">
              <w:t>Koeficient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hlavicka"/>
            </w:pPr>
            <w:r w:rsidRPr="00D62B6E">
              <w:t>študenti, na ktorých sa koeficient vzťahuje</w:t>
            </w:r>
          </w:p>
        </w:tc>
      </w:tr>
      <w:tr w:rsidR="00CA073A" w:rsidRPr="00D62B6E" w:rsidTr="00B223F7">
        <w:tc>
          <w:tcPr>
            <w:tcW w:w="3652" w:type="dxa"/>
            <w:vMerge w:val="restart"/>
          </w:tcPr>
          <w:p w:rsidR="00CA073A" w:rsidRPr="00D62B6E" w:rsidRDefault="00CA073A" w:rsidP="00654212">
            <w:pPr>
              <w:pStyle w:val="texttabulka"/>
            </w:pPr>
            <w:r w:rsidRPr="00D62B6E">
              <w:t>študijné programy prvého stupňa</w:t>
            </w: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0,70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študenti v prvom roku štúdia, ktorým nevznikla povinnosť uhradiť školné</w:t>
            </w:r>
          </w:p>
        </w:tc>
      </w:tr>
      <w:tr w:rsidR="00CA073A" w:rsidRPr="00D62B6E" w:rsidTr="00B223F7">
        <w:tc>
          <w:tcPr>
            <w:tcW w:w="3652" w:type="dxa"/>
            <w:vMerge/>
          </w:tcPr>
          <w:p w:rsidR="00CA073A" w:rsidRPr="00D62B6E" w:rsidRDefault="00CA073A" w:rsidP="00654212">
            <w:pPr>
              <w:pStyle w:val="texttabulka"/>
            </w:pP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1,00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študenti v druhom a ďalšom roku štúdia, ktorým nevznikla povinnosť uhradiť školné</w:t>
            </w:r>
          </w:p>
        </w:tc>
      </w:tr>
      <w:tr w:rsidR="00CA073A" w:rsidRPr="00D62B6E" w:rsidTr="00B223F7">
        <w:tc>
          <w:tcPr>
            <w:tcW w:w="3652" w:type="dxa"/>
            <w:vMerge/>
          </w:tcPr>
          <w:p w:rsidR="00CA073A" w:rsidRPr="00D62B6E" w:rsidRDefault="00CA073A" w:rsidP="00654212">
            <w:pPr>
              <w:pStyle w:val="texttabulka"/>
            </w:pP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2,00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absolventi profesijne orientovaných bakalárskych študijných programov</w:t>
            </w:r>
          </w:p>
        </w:tc>
      </w:tr>
      <w:tr w:rsidR="00CA073A" w:rsidRPr="00D62B6E" w:rsidTr="00B223F7">
        <w:tc>
          <w:tcPr>
            <w:tcW w:w="3652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študijné programy druhého stupňa</w:t>
            </w: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1,50</w:t>
            </w:r>
            <w:r w:rsidRPr="00D62B6E">
              <w:rPr>
                <w:rStyle w:val="Odkaznapoznmkupodiarou"/>
              </w:rPr>
              <w:footnoteReference w:id="1"/>
            </w:r>
            <w:r w:rsidRPr="00D62B6E">
              <w:t>)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študenti, ktorým nevznikla povinnosť uhradiť školné</w:t>
            </w:r>
          </w:p>
        </w:tc>
      </w:tr>
      <w:tr w:rsidR="00CA073A" w:rsidRPr="00D62B6E" w:rsidTr="00B223F7">
        <w:tc>
          <w:tcPr>
            <w:tcW w:w="3652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študijné programy tretieho stupňa</w:t>
            </w:r>
          </w:p>
        </w:tc>
        <w:tc>
          <w:tcPr>
            <w:tcW w:w="1134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12,00</w:t>
            </w:r>
          </w:p>
          <w:p w:rsidR="00CA073A" w:rsidRPr="00D62B6E" w:rsidRDefault="00CA073A" w:rsidP="00654212">
            <w:pPr>
              <w:pStyle w:val="texttabulka"/>
            </w:pPr>
            <w:r w:rsidRPr="00D62B6E">
              <w:t>SDS</w:t>
            </w:r>
            <w:r w:rsidRPr="00D62B6E">
              <w:rPr>
                <w:rStyle w:val="Odkaznapoznmkupodiarou"/>
              </w:rPr>
              <w:footnoteReference w:id="2"/>
            </w:r>
            <w:r w:rsidRPr="00D62B6E">
              <w:t>)</w:t>
            </w:r>
          </w:p>
        </w:tc>
        <w:tc>
          <w:tcPr>
            <w:tcW w:w="5103" w:type="dxa"/>
          </w:tcPr>
          <w:p w:rsidR="00CA073A" w:rsidRPr="00D62B6E" w:rsidRDefault="00CA073A" w:rsidP="00654212">
            <w:pPr>
              <w:pStyle w:val="texttabulka"/>
            </w:pPr>
            <w:r w:rsidRPr="00D62B6E">
              <w:t>študenti, ktorým nevznikla povinnosť uhradiť školné</w:t>
            </w:r>
          </w:p>
        </w:tc>
      </w:tr>
    </w:tbl>
    <w:p w:rsidR="00CA073A" w:rsidRPr="00D62B6E" w:rsidRDefault="00CA073A" w:rsidP="00CA073A">
      <w:pPr>
        <w:pStyle w:val="odsek"/>
      </w:pPr>
      <w:r w:rsidRPr="00D62B6E">
        <w:t>Študenti v študijných programoch podľa § 53 ods. 3 zákona sa považujú prvé tri roky štúdia za študentov študijného programu prvého stupňa, v ďalších rokoch sa považujú za študentov študijného programu druhého stupňa.</w:t>
      </w:r>
    </w:p>
    <w:p w:rsidR="00CA073A" w:rsidRPr="00D62B6E" w:rsidRDefault="00CA073A" w:rsidP="00CA073A">
      <w:pPr>
        <w:pStyle w:val="odsek"/>
      </w:pPr>
      <w:r w:rsidRPr="00D62B6E">
        <w:t xml:space="preserve">Študenti, ktorým vznikla povinnosť uhradiť školné alebo uhrádzajú školné, sa v prepočítanom počte študentov nezohľadňujú. Z absolventov sa nezohľadňujú absolventi, v prípade ktorých nie sú v CRŠ vyplnené údaje o udelenom diplome (počet takýchto absolventov sa odpočíta z počtu absolventov, ktorí neuhradili školné). </w:t>
      </w:r>
    </w:p>
    <w:p w:rsidR="00CA073A" w:rsidRPr="00D62B6E" w:rsidRDefault="00CA073A" w:rsidP="00CA073A">
      <w:pPr>
        <w:pStyle w:val="odsek"/>
      </w:pPr>
      <w:r w:rsidRPr="00D62B6E">
        <w:t xml:space="preserve">Počet absolventov sa znižuje o počet absolventov, ktorí riadne skončili štúdium v akademickom roku 2020/2021, ktorí boli vedení ako uchádzači o zamestnanie a doba ich evidencie bola 180 a viac dní. Výkon odvodený od absolventov bakalárskych študijných programov sa znižuje na 10 %, ak títo pokračujú v štúdiu na vyššom stupni. </w:t>
      </w:r>
    </w:p>
    <w:p w:rsidR="00CA073A" w:rsidRPr="00D62B6E" w:rsidRDefault="00CA073A" w:rsidP="00CA073A">
      <w:pPr>
        <w:pStyle w:val="odsek"/>
      </w:pPr>
      <w:r w:rsidRPr="00D62B6E">
        <w:t xml:space="preserve">Pri výpočte objemu mzdových prostriedkov na jednotlivé </w:t>
      </w:r>
      <w:r w:rsidR="00C83D23">
        <w:t>fakulty</w:t>
      </w:r>
      <w:r w:rsidRPr="00D62B6E">
        <w:t xml:space="preserve"> sa zohľadní aj príspevok na zabezpečenie základnej administratívy a prevádzky. Pri tomto sa vychádza z prepočítaného počtu študentov </w:t>
      </w:r>
      <w:r w:rsidR="00C83D23">
        <w:t>fakulty</w:t>
      </w:r>
      <w:r w:rsidRPr="00D62B6E">
        <w:t xml:space="preserve">, pričom každej </w:t>
      </w:r>
      <w:r w:rsidR="00C83D23">
        <w:t>fakulte</w:t>
      </w:r>
      <w:r w:rsidRPr="00D62B6E">
        <w:t xml:space="preserve"> sa poskytnú paušálne finančné prostriedky </w:t>
      </w:r>
      <w:r w:rsidR="00C83D23">
        <w:t xml:space="preserve">pridelené UJS </w:t>
      </w:r>
      <w:r w:rsidRPr="00D62B6E">
        <w:t xml:space="preserve"> zamestnancov centrálnej administratívy a prevádzky </w:t>
      </w:r>
      <w:r w:rsidR="00C83D23">
        <w:t>pomern</w:t>
      </w:r>
      <w:r w:rsidR="006F549F">
        <w:t>e</w:t>
      </w:r>
      <w:r w:rsidR="00C83D23">
        <w:t xml:space="preserve"> podľa počtu študentov</w:t>
      </w:r>
      <w:r w:rsidRPr="00D62B6E">
        <w:t>.</w:t>
      </w:r>
    </w:p>
    <w:p w:rsidR="00CA073A" w:rsidRPr="00D62B6E" w:rsidRDefault="00CA073A" w:rsidP="00C83D23">
      <w:pPr>
        <w:pStyle w:val="odsek"/>
        <w:numPr>
          <w:ilvl w:val="0"/>
          <w:numId w:val="0"/>
        </w:numPr>
      </w:pPr>
      <w:bookmarkStart w:id="10" w:name="_Ref383094888"/>
      <w:r w:rsidRPr="00D62B6E">
        <w:rPr>
          <w:b/>
          <w:bCs/>
        </w:rPr>
        <w:t>Koeficient odboru</w:t>
      </w:r>
      <w:r w:rsidRPr="00D62B6E">
        <w:t xml:space="preserve"> (KO) je odvodený od normatívneho počtu študentov na jedného vysokoškolského učiteľa a od normatívneho počtu nepedagogických zamestnancov na jedného vysokoškolského učiteľa pre daný študijný odbor (príloha č. 2</w:t>
      </w:r>
      <w:r w:rsidR="00C83D23">
        <w:t xml:space="preserve"> metodiky ministerstva</w:t>
      </w:r>
      <w:r w:rsidRPr="00D62B6E">
        <w:t>).</w:t>
      </w:r>
      <w:bookmarkEnd w:id="10"/>
    </w:p>
    <w:p w:rsidR="00CA073A" w:rsidRPr="00D62B6E" w:rsidRDefault="00CA073A" w:rsidP="00C83D23">
      <w:pPr>
        <w:pStyle w:val="odsek"/>
        <w:numPr>
          <w:ilvl w:val="0"/>
          <w:numId w:val="0"/>
        </w:numPr>
        <w:rPr>
          <w:b/>
          <w:bCs/>
        </w:rPr>
      </w:pPr>
      <w:bookmarkStart w:id="11" w:name="_Ref184058312"/>
      <w:r w:rsidRPr="00D62B6E">
        <w:rPr>
          <w:b/>
          <w:bCs/>
        </w:rPr>
        <w:t>Koeficient intenzity výskumnej činnosti</w:t>
      </w:r>
      <w:r w:rsidRPr="00D62B6E">
        <w:t xml:space="preserve"> (KIVČ) je odvodený od pomeru mediánu podielu dotácie na prevádzku a rozvoj infraštruktúry pre výskum a vývoj pripadajúceho na jedného akademického zamestnanca (vysokoškolskí učitelia, výskumní a umeleckí pracovníci) za roky 2019 až 2021 a priemerného mediánu podielu dotácie na prevádzku a rozvoj infraštruktúry pre výskum a vývoj pripadajúceho na jedného akademického zamestnanca všetkých verejných vysokých škôl za roky 2019 až 2021. V prípade študijných programov prvého stupňa sa použije nulová váha, pre študijné </w:t>
      </w:r>
      <w:r w:rsidRPr="00D62B6E">
        <w:lastRenderedPageBreak/>
        <w:t>programy druhého stupňa váha 0,5 a pre študijné programy tretieho stupňa váha 1,0, zvyšnou váhou sa zohľadní koeficient s hodnotou 1,0.</w:t>
      </w:r>
      <w:bookmarkEnd w:id="11"/>
    </w:p>
    <w:p w:rsidR="00CA073A" w:rsidRDefault="00CA073A" w:rsidP="00C83D23">
      <w:pPr>
        <w:pStyle w:val="odsek"/>
        <w:numPr>
          <w:ilvl w:val="0"/>
          <w:numId w:val="0"/>
        </w:numPr>
        <w:spacing w:after="0"/>
      </w:pPr>
      <w:bookmarkStart w:id="12" w:name="_Ref230320621"/>
      <w:r w:rsidRPr="00D62B6E">
        <w:rPr>
          <w:b/>
          <w:bCs/>
        </w:rPr>
        <w:t>Koeficient uplatnenia absolventov vysokej školy podľa odboru</w:t>
      </w:r>
      <w:r w:rsidRPr="00D62B6E">
        <w:t xml:space="preserve"> (KAP) je odvodený od počtu absolventov </w:t>
      </w:r>
      <w:r w:rsidR="00C83D23">
        <w:t>fakulty</w:t>
      </w:r>
      <w:r w:rsidRPr="00D62B6E">
        <w:t xml:space="preserve"> v dennej forme štúdia v akademickom roku 2020/2021 a počtu evidovaných nezamestnaných absolventov vysokej školy podľa údajov </w:t>
      </w:r>
      <w:bookmarkEnd w:id="12"/>
      <w:r w:rsidRPr="00D62B6E">
        <w:t>z IS služieb zamestnanosti 180 a viac dní. Počty absolventov</w:t>
      </w:r>
      <w:r w:rsidRPr="00D62B6E">
        <w:rPr>
          <w:rStyle w:val="Odkaznapoznmkupodiarou"/>
        </w:rPr>
        <w:footnoteReference w:id="3"/>
      </w:r>
      <w:r w:rsidRPr="00D62B6E">
        <w:t>) a počty nezamestnaných absolventov v rámci vysokej školy sa zohľadňujú pre určenie KAP osobitne pre jednotlivé študijné programy. Ak nie je možné KAP určiť pre daný študijný program (napr. v danom študijnom programe neboli v akademickom roku 2020/2021 absolventi), použije sa KAP vypočítaný odvodením od počtu absolventov a počtu nezamestnaných absolventov za všetky študijné programy zoskupených za danú vysokú školu, za daný študijný odbor a za daný stupeň. V prípade študijného programu prvého stupňa sa KAP upraví tak, že sa KAP určí váženým priemerom KAPov v jednotlivých stupňoch, využitím váhy počtu absolventov za študijné programy z jednej vysokej školy, študijného odboru a stupni. V prípade, že vysoká škola zatiaľ nemá absolventov v danom študijnom odbore alebo v stupni, ale má v nej študentov, zohľadní sa KAP odvodený z počtu všetkých absolventov a všetkých nezamestnaných absolventov. V prípade medziodborových študijných programov sa KAP určí z prvého študijného odboru.</w:t>
      </w:r>
    </w:p>
    <w:p w:rsidR="00C80704" w:rsidRDefault="00C80704" w:rsidP="00C83D23">
      <w:pPr>
        <w:pStyle w:val="odsek"/>
        <w:numPr>
          <w:ilvl w:val="0"/>
          <w:numId w:val="0"/>
        </w:numPr>
        <w:spacing w:after="0"/>
      </w:pPr>
    </w:p>
    <w:p w:rsidR="00C80704" w:rsidRPr="00C80704" w:rsidRDefault="00C80704" w:rsidP="00C80704">
      <w:pPr>
        <w:pStyle w:val="Nadpis7"/>
        <w:spacing w:before="120"/>
        <w:rPr>
          <w:rFonts w:ascii="Times New Roman" w:hAnsi="Times New Roman"/>
          <w:b/>
          <w:i w:val="0"/>
          <w:iCs w:val="0"/>
          <w:color w:val="auto"/>
          <w:sz w:val="24"/>
        </w:rPr>
      </w:pPr>
      <w:r w:rsidRPr="00C80704">
        <w:rPr>
          <w:rFonts w:ascii="Times New Roman" w:hAnsi="Times New Roman"/>
          <w:b/>
          <w:color w:val="auto"/>
          <w:sz w:val="24"/>
        </w:rPr>
        <w:t>Určenie výšky dotácie na tovary a služby</w:t>
      </w:r>
    </w:p>
    <w:p w:rsidR="00C80704" w:rsidRDefault="00C80704" w:rsidP="00EA4737">
      <w:pPr>
        <w:pStyle w:val="odsek"/>
        <w:numPr>
          <w:ilvl w:val="0"/>
          <w:numId w:val="0"/>
        </w:numPr>
        <w:spacing w:before="0" w:after="0"/>
      </w:pPr>
      <w:r w:rsidRPr="00D62B6E">
        <w:t xml:space="preserve">V rámci dotácie na tovary a služby </w:t>
      </w:r>
      <w:r>
        <w:t xml:space="preserve">bola pridelená UJS </w:t>
      </w:r>
      <w:r w:rsidR="006F549F" w:rsidRPr="00EA4737">
        <w:rPr>
          <w:b/>
        </w:rPr>
        <w:t>801 470</w:t>
      </w:r>
      <w:r w:rsidR="006F549F">
        <w:t xml:space="preserve">,- </w:t>
      </w:r>
      <w:r w:rsidRPr="00D62B6E">
        <w:rPr>
          <w:b/>
        </w:rPr>
        <w:t>€,</w:t>
      </w:r>
      <w:r w:rsidRPr="00D62B6E">
        <w:t xml:space="preserve"> z toho </w:t>
      </w:r>
      <w:r w:rsidR="00675AE5">
        <w:t>120 000,-</w:t>
      </w:r>
      <w:r w:rsidRPr="00D62B6E">
        <w:t> € sa rozpíše ako základná dotácia na prevádzku,</w:t>
      </w:r>
      <w:r>
        <w:t xml:space="preserve">  </w:t>
      </w:r>
      <w:r w:rsidR="00DE5978">
        <w:t>413 319,</w:t>
      </w:r>
      <w:r w:rsidR="00FE517C">
        <w:t>-</w:t>
      </w:r>
      <w:r w:rsidRPr="00D62B6E">
        <w:t xml:space="preserve"> € sa rozpíše ako odvodená dotácia na </w:t>
      </w:r>
      <w:r>
        <w:t xml:space="preserve">prevádzku, </w:t>
      </w:r>
      <w:r w:rsidR="00DE5978">
        <w:t xml:space="preserve">112 569,- </w:t>
      </w:r>
      <w:r w:rsidRPr="00D62B6E">
        <w:t xml:space="preserve">€ sa rozpíše na dotáciu na tovary a služby na vzdelávaciu činnosť,   </w:t>
      </w:r>
      <w:r w:rsidRPr="00D62B6E">
        <w:br/>
      </w:r>
      <w:r w:rsidR="00DE5978">
        <w:rPr>
          <w:color w:val="000000" w:themeColor="text1"/>
        </w:rPr>
        <w:t>155 582,-</w:t>
      </w:r>
      <w:r w:rsidRPr="00D62B6E">
        <w:rPr>
          <w:color w:val="000000" w:themeColor="text1"/>
        </w:rPr>
        <w:t xml:space="preserve"> </w:t>
      </w:r>
      <w:r w:rsidRPr="00D62B6E">
        <w:t>€ sa rozpíše podľa osobitných kritérií a iné tovary a služby, napr. na osobitné kritériá vo vybraných študijných odboroch, pedagogické praxe</w:t>
      </w:r>
      <w:r w:rsidR="00675AE5">
        <w:t>.</w:t>
      </w:r>
    </w:p>
    <w:p w:rsidR="00EA4737" w:rsidRPr="00D62B6E" w:rsidRDefault="00EA4737" w:rsidP="00EA4737">
      <w:pPr>
        <w:pStyle w:val="odsek"/>
        <w:numPr>
          <w:ilvl w:val="0"/>
          <w:numId w:val="0"/>
        </w:numPr>
        <w:spacing w:before="0" w:after="0"/>
      </w:pPr>
    </w:p>
    <w:p w:rsidR="00675AE5" w:rsidRDefault="00B223F7" w:rsidP="00EA4737">
      <w:pPr>
        <w:pStyle w:val="odsek"/>
        <w:numPr>
          <w:ilvl w:val="0"/>
          <w:numId w:val="0"/>
        </w:numPr>
        <w:spacing w:before="0" w:after="0"/>
        <w:rPr>
          <w:color w:val="FF0000"/>
        </w:rPr>
      </w:pPr>
      <w:r w:rsidRPr="00EA4737">
        <w:t xml:space="preserve">Z rozpočtu UJS sa </w:t>
      </w:r>
      <w:r w:rsidR="00675AE5" w:rsidRPr="00EA4737">
        <w:t>vyčlenia finančné prostriedky na prevádzku informačného systému AIS2, ktoré v rámci zabezpečenia prevádzky AIS2 pre rok 2023 poskytuje UJS prevádzkovateľovi – Univerzite Pavla Jozefa Šafárika v</w:t>
      </w:r>
      <w:r w:rsidR="00EA4737">
        <w:t> </w:t>
      </w:r>
      <w:r w:rsidR="00675AE5" w:rsidRPr="00EA4737">
        <w:t>Košiciach</w:t>
      </w:r>
      <w:r w:rsidR="00EA4737">
        <w:t>.</w:t>
      </w:r>
      <w:r w:rsidR="00675AE5" w:rsidRPr="00030D74">
        <w:rPr>
          <w:color w:val="FF0000"/>
        </w:rPr>
        <w:t xml:space="preserve"> </w:t>
      </w:r>
    </w:p>
    <w:p w:rsidR="00EA4737" w:rsidRPr="00030D74" w:rsidRDefault="00EA4737" w:rsidP="00EA4737">
      <w:pPr>
        <w:pStyle w:val="odsek"/>
        <w:numPr>
          <w:ilvl w:val="0"/>
          <w:numId w:val="0"/>
        </w:numPr>
        <w:spacing w:before="0" w:after="0"/>
        <w:rPr>
          <w:color w:val="FF0000"/>
        </w:rPr>
      </w:pPr>
    </w:p>
    <w:p w:rsidR="006D7F26" w:rsidRDefault="00C80704" w:rsidP="00EA4737">
      <w:pPr>
        <w:pStyle w:val="odsek"/>
        <w:numPr>
          <w:ilvl w:val="0"/>
          <w:numId w:val="0"/>
        </w:numPr>
        <w:spacing w:before="0" w:after="0"/>
      </w:pPr>
      <w:r w:rsidRPr="00D62B6E">
        <w:t xml:space="preserve">Odvodená dotácia </w:t>
      </w:r>
      <w:r w:rsidR="006D7F26" w:rsidRPr="006D7F26">
        <w:rPr>
          <w:b/>
        </w:rPr>
        <w:t xml:space="preserve">na TaS </w:t>
      </w:r>
      <w:r w:rsidRPr="006D7F26">
        <w:rPr>
          <w:b/>
        </w:rPr>
        <w:t>na prevádzku</w:t>
      </w:r>
      <w:r w:rsidRPr="00D62B6E">
        <w:t xml:space="preserve"> sa rozpíše úmerne k podielu prepočítaného počtu študentov </w:t>
      </w:r>
      <w:r w:rsidR="006D7F26">
        <w:t>fakulty</w:t>
      </w:r>
      <w:r w:rsidRPr="00D62B6E">
        <w:t xml:space="preserve"> na celkovom prepočítanom počte študentov.</w:t>
      </w:r>
    </w:p>
    <w:p w:rsidR="00C80704" w:rsidRPr="00D62B6E" w:rsidRDefault="00C80704" w:rsidP="00EA4737">
      <w:pPr>
        <w:pStyle w:val="odsek"/>
        <w:numPr>
          <w:ilvl w:val="0"/>
          <w:numId w:val="0"/>
        </w:numPr>
        <w:spacing w:before="0" w:after="0"/>
      </w:pPr>
      <w:r w:rsidRPr="00D62B6E">
        <w:t xml:space="preserve">Dotácia na </w:t>
      </w:r>
      <w:r w:rsidR="006D7F26" w:rsidRPr="006D7F26">
        <w:rPr>
          <w:b/>
        </w:rPr>
        <w:t xml:space="preserve">TaS </w:t>
      </w:r>
      <w:r w:rsidRPr="006D7F26">
        <w:rPr>
          <w:b/>
        </w:rPr>
        <w:t>na vzdelávaciu činnosť</w:t>
      </w:r>
      <w:r w:rsidRPr="00D62B6E">
        <w:t xml:space="preserve"> sa určuje rozpísaním finančných prostriedkov úmerne k výkonu vo vzdelávaní pre tovary a služby (prepočítaný počet študentov vynásobený koeficientom odboru).</w:t>
      </w:r>
    </w:p>
    <w:p w:rsidR="00C80704" w:rsidRPr="00D62B6E" w:rsidRDefault="00C80704" w:rsidP="00EA4737">
      <w:pPr>
        <w:pStyle w:val="odsek"/>
        <w:spacing w:before="0" w:after="0"/>
      </w:pPr>
      <w:r w:rsidRPr="00D62B6E">
        <w:t>Dotácia na tovary a služby podľa osobitných kritérií sa rozpisuje nasledovne:</w:t>
      </w:r>
    </w:p>
    <w:p w:rsidR="00C80704" w:rsidRPr="00D62B6E" w:rsidRDefault="0049348D" w:rsidP="00EA4737">
      <w:pPr>
        <w:pStyle w:val="odsek-pismeno"/>
        <w:numPr>
          <w:ilvl w:val="0"/>
          <w:numId w:val="19"/>
        </w:numPr>
        <w:spacing w:before="0" w:after="0"/>
        <w:ind w:left="839" w:hanging="357"/>
      </w:pPr>
      <w:r>
        <w:t>66 083,-</w:t>
      </w:r>
      <w:r w:rsidR="00C80704" w:rsidRPr="00D62B6E">
        <w:t xml:space="preserve"> € v závislosti od objemu grantov získaných zo zahraničia v rokoch 2020 a 2021 na projekty súvisiace so vzdelávaním alebo s prevádzkou vysokých škôl,</w:t>
      </w:r>
    </w:p>
    <w:p w:rsidR="008776FC" w:rsidRDefault="0049348D" w:rsidP="00EA4737">
      <w:pPr>
        <w:pStyle w:val="odsek-pismeno"/>
        <w:numPr>
          <w:ilvl w:val="0"/>
          <w:numId w:val="19"/>
        </w:numPr>
        <w:spacing w:before="0" w:after="0"/>
        <w:ind w:left="839" w:hanging="357"/>
      </w:pPr>
      <w:r>
        <w:t>42 314,-</w:t>
      </w:r>
      <w:r w:rsidR="00C80704" w:rsidRPr="00D62B6E">
        <w:t xml:space="preserve"> € úmerne </w:t>
      </w:r>
      <w:r>
        <w:t>podľa osobitných kritérií na mobility</w:t>
      </w:r>
      <w:r w:rsidR="00C26F9C">
        <w:t>,</w:t>
      </w:r>
    </w:p>
    <w:p w:rsidR="008776FC" w:rsidRPr="008776FC" w:rsidRDefault="008776FC" w:rsidP="00EA4737">
      <w:pPr>
        <w:pStyle w:val="odsek-pismeno"/>
        <w:numPr>
          <w:ilvl w:val="0"/>
          <w:numId w:val="19"/>
        </w:numPr>
        <w:spacing w:before="0" w:after="0"/>
        <w:ind w:left="839" w:hanging="357"/>
        <w:rPr>
          <w:b/>
        </w:rPr>
      </w:pPr>
      <w:r>
        <w:t xml:space="preserve">16 078,- </w:t>
      </w:r>
      <w:r w:rsidR="00C80704" w:rsidRPr="00D62B6E">
        <w:t xml:space="preserve">€ </w:t>
      </w:r>
      <w:r>
        <w:t xml:space="preserve">podľa osobitných kritérií </w:t>
      </w:r>
      <w:r w:rsidR="00C26F9C">
        <w:t>.</w:t>
      </w:r>
    </w:p>
    <w:p w:rsidR="00C80704" w:rsidRPr="008776FC" w:rsidRDefault="00C80704" w:rsidP="008776FC">
      <w:pPr>
        <w:pStyle w:val="odsek-pismeno"/>
        <w:numPr>
          <w:ilvl w:val="0"/>
          <w:numId w:val="0"/>
        </w:numPr>
        <w:ind w:left="843"/>
        <w:rPr>
          <w:b/>
        </w:rPr>
      </w:pPr>
      <w:r w:rsidRPr="008776FC">
        <w:rPr>
          <w:b/>
        </w:rPr>
        <w:t>Určenie výšky dotácie na špecifiká</w:t>
      </w:r>
    </w:p>
    <w:p w:rsidR="006D7F26" w:rsidRDefault="00C80704" w:rsidP="006D7F26">
      <w:pPr>
        <w:pStyle w:val="odsek"/>
        <w:numPr>
          <w:ilvl w:val="0"/>
          <w:numId w:val="0"/>
        </w:numPr>
      </w:pPr>
      <w:bookmarkStart w:id="13" w:name="_Ref282198800"/>
      <w:r w:rsidRPr="00D62B6E">
        <w:t>V rámci dotácie na špecifiká</w:t>
      </w:r>
      <w:r w:rsidR="006D7F26">
        <w:t xml:space="preserve"> bola</w:t>
      </w:r>
      <w:r w:rsidRPr="00D62B6E">
        <w:t xml:space="preserve"> </w:t>
      </w:r>
      <w:r w:rsidR="006D7F26">
        <w:t xml:space="preserve">UJS  pridelená </w:t>
      </w:r>
      <w:r w:rsidRPr="00D62B6E">
        <w:t> </w:t>
      </w:r>
      <w:r>
        <w:t>suma</w:t>
      </w:r>
      <w:r w:rsidR="008776FC">
        <w:t xml:space="preserve"> </w:t>
      </w:r>
      <w:r w:rsidR="008776FC" w:rsidRPr="00EA4737">
        <w:rPr>
          <w:b/>
        </w:rPr>
        <w:t>31 107</w:t>
      </w:r>
      <w:r w:rsidR="008776FC">
        <w:t xml:space="preserve">,- </w:t>
      </w:r>
      <w:r w:rsidRPr="00D62B6E">
        <w:rPr>
          <w:b/>
          <w:color w:val="FF0000"/>
        </w:rPr>
        <w:t> </w:t>
      </w:r>
      <w:r w:rsidRPr="00D62B6E">
        <w:rPr>
          <w:b/>
        </w:rPr>
        <w:t>€</w:t>
      </w:r>
      <w:r w:rsidRPr="00D62B6E">
        <w:t>.</w:t>
      </w:r>
      <w:r w:rsidR="006D7F26">
        <w:t xml:space="preserve">   </w:t>
      </w:r>
    </w:p>
    <w:p w:rsidR="00C80704" w:rsidRPr="00D62B6E" w:rsidRDefault="00C80704" w:rsidP="00C26F9C">
      <w:pPr>
        <w:pStyle w:val="odsek"/>
        <w:numPr>
          <w:ilvl w:val="0"/>
          <w:numId w:val="0"/>
        </w:numPr>
        <w:spacing w:before="0" w:after="0"/>
      </w:pPr>
      <w:r w:rsidRPr="00D62B6E">
        <w:t>Osobitne sa zohľadňujú</w:t>
      </w:r>
      <w:bookmarkEnd w:id="13"/>
    </w:p>
    <w:p w:rsidR="00C80704" w:rsidRPr="00D62B6E" w:rsidRDefault="006D7F26" w:rsidP="00C26F9C">
      <w:pPr>
        <w:pStyle w:val="odsek-pismeno"/>
        <w:numPr>
          <w:ilvl w:val="0"/>
          <w:numId w:val="20"/>
        </w:numPr>
        <w:spacing w:before="0" w:after="0"/>
        <w:ind w:left="839" w:hanging="357"/>
      </w:pPr>
      <w:r>
        <w:t>vý</w:t>
      </w:r>
      <w:r w:rsidR="00C80704" w:rsidRPr="00D62B6E">
        <w:t>davky na praktickú výučbu,</w:t>
      </w:r>
    </w:p>
    <w:p w:rsidR="00C80704" w:rsidRPr="00D62B6E" w:rsidRDefault="00C80704" w:rsidP="00C26F9C">
      <w:pPr>
        <w:pStyle w:val="odsek-pismeno"/>
        <w:numPr>
          <w:ilvl w:val="0"/>
          <w:numId w:val="20"/>
        </w:numPr>
        <w:spacing w:before="0" w:after="0"/>
        <w:ind w:left="839" w:hanging="357"/>
      </w:pPr>
      <w:r w:rsidRPr="00D62B6E">
        <w:t>podpora študentov so špecific</w:t>
      </w:r>
      <w:r w:rsidR="00C26F9C">
        <w:t>kými potrebami v sume 6 118,- €</w:t>
      </w:r>
    </w:p>
    <w:p w:rsidR="00C80704" w:rsidRPr="00D62B6E" w:rsidRDefault="00C80704" w:rsidP="00C26F9C">
      <w:pPr>
        <w:pStyle w:val="odsek"/>
        <w:numPr>
          <w:ilvl w:val="0"/>
          <w:numId w:val="0"/>
        </w:numPr>
        <w:spacing w:before="0" w:after="0"/>
      </w:pPr>
      <w:r w:rsidRPr="00D62B6E">
        <w:t>Výdavky na praktickú výučbu zahŕňajú:</w:t>
      </w:r>
    </w:p>
    <w:p w:rsidR="00C80704" w:rsidRPr="00D62B6E" w:rsidRDefault="00C80704" w:rsidP="00C26F9C">
      <w:pPr>
        <w:pStyle w:val="odsek-pismeno"/>
        <w:numPr>
          <w:ilvl w:val="0"/>
          <w:numId w:val="26"/>
        </w:numPr>
        <w:spacing w:before="0" w:after="0"/>
        <w:ind w:left="839" w:hanging="357"/>
      </w:pPr>
      <w:r w:rsidRPr="00D62B6E">
        <w:t>výdavky na rozb</w:t>
      </w:r>
      <w:r w:rsidR="00C26F9C">
        <w:t>ory v rámci pedagogických praxí v sume 24 989,- €</w:t>
      </w:r>
    </w:p>
    <w:p w:rsidR="00C80704" w:rsidRPr="00D62B6E" w:rsidRDefault="00C80704" w:rsidP="00C26F9C">
      <w:pPr>
        <w:pStyle w:val="odsek-pismeno"/>
        <w:numPr>
          <w:ilvl w:val="0"/>
          <w:numId w:val="26"/>
        </w:numPr>
        <w:spacing w:before="0" w:after="0"/>
        <w:ind w:left="839" w:hanging="357"/>
      </w:pPr>
      <w:r w:rsidRPr="00D62B6E">
        <w:lastRenderedPageBreak/>
        <w:t>výdavky na formáciu študentov v bohosloveckých študijných odboroch pr</w:t>
      </w:r>
      <w:r w:rsidR="00C26F9C">
        <w:t>ipravovaných na povolanie kňaza v sume 25 308,-€, bez odvodov.</w:t>
      </w:r>
    </w:p>
    <w:p w:rsidR="00C80704" w:rsidRPr="00D62B6E" w:rsidRDefault="00C80704" w:rsidP="00B444A7">
      <w:pPr>
        <w:pStyle w:val="odsek"/>
        <w:numPr>
          <w:ilvl w:val="0"/>
          <w:numId w:val="0"/>
        </w:numPr>
      </w:pPr>
      <w:r w:rsidRPr="00D62B6E">
        <w:t>Objem finančných prostriedkov na praktickú výučbu sa odvíja od počtu študentov, ktorí absolvujú v rámci svojho štúdia predpísanú praktickú výučbu, od jej rozsahu a od ekonomickej náročnosti praktickej výučby.</w:t>
      </w:r>
    </w:p>
    <w:p w:rsidR="00B444A7" w:rsidRDefault="00C80704" w:rsidP="00B444A7">
      <w:pPr>
        <w:pStyle w:val="odsek"/>
        <w:numPr>
          <w:ilvl w:val="0"/>
          <w:numId w:val="0"/>
        </w:numPr>
      </w:pPr>
      <w:r w:rsidRPr="00D62B6E">
        <w:t xml:space="preserve">Na výdavky na rozbory v rámci </w:t>
      </w:r>
      <w:r w:rsidRPr="00B444A7">
        <w:rPr>
          <w:b/>
        </w:rPr>
        <w:t>pedagogickej praxe</w:t>
      </w:r>
      <w:r w:rsidRPr="00D62B6E">
        <w:t xml:space="preserve"> </w:t>
      </w:r>
      <w:r w:rsidR="00B444A7">
        <w:t>má UJS pridelenú dotáciu v</w:t>
      </w:r>
      <w:r w:rsidRPr="00D62B6E">
        <w:t xml:space="preserve"> sum</w:t>
      </w:r>
      <w:r w:rsidR="00B444A7">
        <w:t>e</w:t>
      </w:r>
      <w:r w:rsidRPr="00D62B6E">
        <w:t xml:space="preserve"> </w:t>
      </w:r>
      <w:r w:rsidR="00C26F9C" w:rsidRPr="00EA4737">
        <w:rPr>
          <w:b/>
        </w:rPr>
        <w:t>24 989</w:t>
      </w:r>
      <w:r w:rsidR="00C26F9C">
        <w:t xml:space="preserve">,- </w:t>
      </w:r>
      <w:r w:rsidRPr="00D62B6E">
        <w:t xml:space="preserve">€, ktorá sa zálohovým spôsobom rozpíše </w:t>
      </w:r>
      <w:r w:rsidR="00B444A7">
        <w:t>na fakultu podľa predpokladané</w:t>
      </w:r>
      <w:r w:rsidRPr="00D62B6E">
        <w:t xml:space="preserve">ho počtu hodín zabezpečených rozborov v roku 2023. Obmedzenia na úhradu rozborov podľa typu praxe (počet študentov na rozbore a pod.) sa upravia v dotačnej zmluve. Na hodinu rozboru sa vyčleňuje 10,63 €. Dotácia sa poskytuje len v študijných programoch v študijnom odbore učiteľstvo a pedagogické vedy, v rámci ktorých sa získava kvalifikácia pedagogického zamestnanca a v študijnom odbore logopédia a liečebná pedagogika, v študijných programoch zameraných na liečebnú pedagogiku. Ministerstvo vykoná v roku 2023 priebežné zúčtovanie týchto finančných prostriedkov a zohľadní skutočný počet rozborov. Konečné zúčtovanie sa vykoná v roku 2024 podľa skutočných výdavkov </w:t>
      </w:r>
      <w:r w:rsidR="00B444A7">
        <w:t>fakulty</w:t>
      </w:r>
      <w:r w:rsidRPr="00D62B6E">
        <w:t xml:space="preserve"> na rozbory (skutočné náklady na cvičných učiteľov a úhrady cvičným školám) pri zohľadnení maxim</w:t>
      </w:r>
      <w:r w:rsidR="00B444A7">
        <w:t>álnej dotácie na hodinu rozboru</w:t>
      </w:r>
      <w:r w:rsidRPr="00D62B6E">
        <w:t>.</w:t>
      </w:r>
      <w:r w:rsidR="00B444A7">
        <w:t xml:space="preserve"> </w:t>
      </w:r>
    </w:p>
    <w:p w:rsidR="00C80704" w:rsidRPr="00D62B6E" w:rsidRDefault="00C80704" w:rsidP="00B444A7">
      <w:pPr>
        <w:pStyle w:val="odsek"/>
        <w:numPr>
          <w:ilvl w:val="0"/>
          <w:numId w:val="0"/>
        </w:numPr>
      </w:pPr>
      <w:r w:rsidRPr="00D62B6E">
        <w:t>O nevyčerpanú sumu finančných prostriedkov k  31. 12. 2023 na špecifiká sa zníži suma finančných prostriedkov napočítaná na daný účel na rok 2024. Tento zostatok nemá vplyv na prideľovanie finančných prostriedkov na nasledujúci rok.</w:t>
      </w:r>
    </w:p>
    <w:p w:rsidR="00C80704" w:rsidRPr="00D62B6E" w:rsidRDefault="00C80704" w:rsidP="00B444A7">
      <w:pPr>
        <w:pStyle w:val="odsek"/>
        <w:numPr>
          <w:ilvl w:val="0"/>
          <w:numId w:val="0"/>
        </w:numPr>
      </w:pPr>
      <w:r w:rsidRPr="00D62B6E">
        <w:t xml:space="preserve">Jednotlivé druhy </w:t>
      </w:r>
      <w:r w:rsidRPr="00B444A7">
        <w:rPr>
          <w:b/>
        </w:rPr>
        <w:t>špecifickej potreby študenta</w:t>
      </w:r>
      <w:r w:rsidRPr="00D62B6E">
        <w:t xml:space="preserve"> sú zaradené do skupín a pre každú skupinu je určená výška dotácie. Vysokej škole sú poskytnuté finančné prostriedky v závislosti od počtu študentov so špecifickou potrebou v danej skupine k 31.10.2022. Využitie finančných prostriedkov je účelovo viazané na zabezpečenie podporných služieb študentom so špecifickými potrebami.</w:t>
      </w:r>
      <w:r w:rsidRPr="00D62B6E" w:rsidDel="00027A7A">
        <w:t xml:space="preserve"> </w:t>
      </w:r>
      <w:r w:rsidRPr="00D62B6E">
        <w:t xml:space="preserve">V prípade, že celková dotácia vypočítaná pre </w:t>
      </w:r>
      <w:r w:rsidR="00B444A7">
        <w:t>fakulty</w:t>
      </w:r>
      <w:r w:rsidRPr="00D62B6E">
        <w:t xml:space="preserve"> prekročí sumu finančných prostriedkov vyčlenenú na tento účel, vyčlenená suma na tento účel sa rozpíše medzi jednotlivé vysoké školy úmerne k vypočítanej dotácií podľa predchádzajúcich viet. Na podporu štúdia študentov so špecifickými potrebami sa v roku 2023 vyčleňuje</w:t>
      </w:r>
      <w:r w:rsidR="00B444A7">
        <w:t xml:space="preserve"> pre UJS</w:t>
      </w:r>
      <w:r w:rsidRPr="00D62B6E">
        <w:t xml:space="preserve"> suma </w:t>
      </w:r>
      <w:r w:rsidR="00C26F9C">
        <w:t>6 118,-</w:t>
      </w:r>
      <w:r w:rsidRPr="00D62B6E">
        <w:rPr>
          <w:color w:val="000000" w:themeColor="text1"/>
        </w:rPr>
        <w:t xml:space="preserve"> </w:t>
      </w:r>
      <w:r w:rsidRPr="00D62B6E">
        <w:t xml:space="preserve">€. Zaradenie jednotlivých druhov špecifickej potreby do skupín a výška dotácie na jeden záznam špecifickej potreby sú uvedené </w:t>
      </w:r>
      <w:r w:rsidRPr="00EA4737">
        <w:rPr>
          <w:b/>
        </w:rPr>
        <w:t xml:space="preserve">v prílohe č. </w:t>
      </w:r>
      <w:r w:rsidR="00EA4737" w:rsidRPr="00EA4737">
        <w:rPr>
          <w:b/>
        </w:rPr>
        <w:t>2</w:t>
      </w:r>
      <w:r w:rsidR="00EA4737">
        <w:rPr>
          <w:b/>
        </w:rPr>
        <w:t xml:space="preserve"> metodiky</w:t>
      </w:r>
      <w:r w:rsidRPr="00EA4737">
        <w:rPr>
          <w:b/>
        </w:rPr>
        <w:t>.</w:t>
      </w:r>
      <w:r w:rsidRPr="00D62B6E">
        <w:t xml:space="preserve"> </w:t>
      </w:r>
    </w:p>
    <w:p w:rsidR="00C80704" w:rsidRPr="00D62B6E" w:rsidRDefault="00B444A7" w:rsidP="00B444A7">
      <w:pPr>
        <w:pStyle w:val="odsek"/>
        <w:numPr>
          <w:ilvl w:val="0"/>
          <w:numId w:val="0"/>
        </w:numPr>
      </w:pPr>
      <w:r>
        <w:t>UJS</w:t>
      </w:r>
      <w:r w:rsidR="00C80704" w:rsidRPr="00D62B6E">
        <w:t xml:space="preserve"> môže požiadať o dotáciu na úhradu výdavkov na príspevky na rekreáciu zamestnancov v súlade s Usmernením k postupu uplatnenia príspevku na rekreáciu zamestnanca pre verejné vysoké školy na rok 2023 (ďalej len „usmernenie“). Usmernenie bude vypracované a dotácia na tento účel sa zrealizuje len za podmienky poskytnutia finančných prostriedkov z Ministerstva financií Slovenskej republiky na príspevok na rekreáciu zamestnancov verejných vysokých škôl v roku 2023. Podmienky poskytnutia príspevku na rekreáciu zamestnancov zo strany zamestnávateľa upravuje § 152a zákona </w:t>
      </w:r>
      <w:r w:rsidR="00C80704" w:rsidRPr="00D62B6E">
        <w:br/>
        <w:t xml:space="preserve">č. 311/2001 Z. z. Zákonník práce v znení neskorších predpisov. </w:t>
      </w:r>
    </w:p>
    <w:p w:rsidR="00C80704" w:rsidRPr="00F6046E" w:rsidRDefault="00C80704" w:rsidP="00C80704">
      <w:pPr>
        <w:pStyle w:val="Nadpis7"/>
        <w:rPr>
          <w:rFonts w:ascii="Times New Roman" w:hAnsi="Times New Roman"/>
          <w:b/>
          <w:i w:val="0"/>
          <w:color w:val="auto"/>
          <w:sz w:val="24"/>
        </w:rPr>
      </w:pPr>
      <w:r w:rsidRPr="00F6046E">
        <w:rPr>
          <w:rFonts w:ascii="Times New Roman" w:hAnsi="Times New Roman"/>
          <w:b/>
          <w:color w:val="auto"/>
          <w:sz w:val="24"/>
        </w:rPr>
        <w:t xml:space="preserve"> Určenie výšky dotácie na kapitálové výdavky  </w:t>
      </w:r>
    </w:p>
    <w:p w:rsidR="00C80704" w:rsidRPr="00D62B6E" w:rsidRDefault="00F6046E" w:rsidP="00F6046E">
      <w:pPr>
        <w:pStyle w:val="odsek"/>
        <w:numPr>
          <w:ilvl w:val="0"/>
          <w:numId w:val="0"/>
        </w:numPr>
        <w:spacing w:before="120" w:after="120"/>
      </w:pPr>
      <w:r>
        <w:t xml:space="preserve">UJS v rozpise dotácie na rok 2023 nemala pridelené finančné prostriedky na kapitálové výdavky. </w:t>
      </w:r>
      <w:r w:rsidR="00C80704" w:rsidRPr="00D62B6E">
        <w:t>Pri určovaní výšky kapitálových transferov na realizáciu stavieb,</w:t>
      </w:r>
      <w:r>
        <w:t xml:space="preserve"> </w:t>
      </w:r>
      <w:r w:rsidR="00C80704" w:rsidRPr="00D62B6E">
        <w:t>rekonštrukcie a odstraňovanie havárií sa prihliada na</w:t>
      </w:r>
    </w:p>
    <w:p w:rsidR="00C80704" w:rsidRPr="00D62B6E" w:rsidRDefault="00C80704" w:rsidP="00C80704">
      <w:pPr>
        <w:pStyle w:val="odsek-pismeno"/>
        <w:numPr>
          <w:ilvl w:val="0"/>
          <w:numId w:val="8"/>
        </w:numPr>
        <w:spacing w:before="0" w:after="0"/>
        <w:ind w:left="839" w:hanging="357"/>
      </w:pPr>
      <w:r w:rsidRPr="00D62B6E">
        <w:t xml:space="preserve">naliehavosť rekonštrukcie resp. odstránenia havárie a na možnosti </w:t>
      </w:r>
      <w:r w:rsidR="00F6046E">
        <w:t xml:space="preserve">univerzity </w:t>
      </w:r>
      <w:r w:rsidRPr="00D62B6E">
        <w:t>realizovať financovanie z už pridelených finančných prostriedkov, alebo z vlastných finančných prostriedkov,</w:t>
      </w:r>
    </w:p>
    <w:p w:rsidR="00C80704" w:rsidRPr="00D62B6E" w:rsidRDefault="00C80704" w:rsidP="00C80704">
      <w:pPr>
        <w:pStyle w:val="odsek-pismeno"/>
        <w:numPr>
          <w:ilvl w:val="0"/>
          <w:numId w:val="8"/>
        </w:numPr>
        <w:spacing w:before="0" w:after="0"/>
        <w:ind w:left="839" w:hanging="357"/>
      </w:pPr>
      <w:r w:rsidRPr="00D62B6E">
        <w:t xml:space="preserve">stav pripravenosti, prípadne rozostavanosti akcie, na ktorú vysoká škola požaduje finančné prostriedky, </w:t>
      </w:r>
    </w:p>
    <w:p w:rsidR="00C80704" w:rsidRPr="00D62B6E" w:rsidRDefault="00C80704" w:rsidP="00C80704">
      <w:pPr>
        <w:pStyle w:val="odsek-pismeno"/>
        <w:numPr>
          <w:ilvl w:val="0"/>
          <w:numId w:val="8"/>
        </w:numPr>
        <w:spacing w:before="0" w:after="0"/>
        <w:ind w:left="839" w:hanging="357"/>
      </w:pPr>
      <w:r w:rsidRPr="00D62B6E">
        <w:t xml:space="preserve">objem kapitálových výdavkov poskytnutých </w:t>
      </w:r>
      <w:r w:rsidR="00F6046E">
        <w:t>UJS</w:t>
      </w:r>
      <w:r w:rsidRPr="00D62B6E">
        <w:t xml:space="preserve"> v predchádzajúcom období,</w:t>
      </w:r>
    </w:p>
    <w:p w:rsidR="00C80704" w:rsidRPr="00D62B6E" w:rsidRDefault="00C80704" w:rsidP="00C80704">
      <w:pPr>
        <w:pStyle w:val="odsek-pismeno"/>
        <w:numPr>
          <w:ilvl w:val="0"/>
          <w:numId w:val="8"/>
        </w:numPr>
        <w:spacing w:before="0"/>
        <w:ind w:left="839" w:hanging="357"/>
      </w:pPr>
      <w:r w:rsidRPr="00D62B6E">
        <w:t>súčasné priestorové vybavenie.</w:t>
      </w:r>
    </w:p>
    <w:p w:rsidR="00F6046E" w:rsidRDefault="00F6046E" w:rsidP="00C80704">
      <w:pPr>
        <w:pStyle w:val="Nadpis3vavomal"/>
        <w:rPr>
          <w:i/>
          <w:iCs/>
          <w:sz w:val="28"/>
          <w:lang w:val="sk-SK"/>
        </w:rPr>
      </w:pPr>
    </w:p>
    <w:p w:rsidR="00C80704" w:rsidRPr="00F6046E" w:rsidRDefault="00C80704" w:rsidP="00C80704">
      <w:pPr>
        <w:pStyle w:val="Nadpis3vavomal"/>
        <w:rPr>
          <w:i/>
          <w:iCs/>
          <w:sz w:val="28"/>
          <w:lang w:val="sk-SK"/>
        </w:rPr>
      </w:pPr>
      <w:r w:rsidRPr="00F6046E">
        <w:rPr>
          <w:i/>
          <w:iCs/>
          <w:sz w:val="28"/>
          <w:lang w:val="sk-SK"/>
        </w:rPr>
        <w:t>Dotácia na výskumnú, vývojovú alebo umeleckú činnosť (podprogram 077 12)</w:t>
      </w:r>
    </w:p>
    <w:p w:rsidR="00C80704" w:rsidRPr="00D62B6E" w:rsidRDefault="00C80704" w:rsidP="00F6046E">
      <w:pPr>
        <w:pStyle w:val="odsek"/>
        <w:numPr>
          <w:ilvl w:val="0"/>
          <w:numId w:val="0"/>
        </w:numPr>
      </w:pPr>
      <w:bookmarkStart w:id="14" w:name="_Ref343576052"/>
      <w:r w:rsidRPr="00D62B6E">
        <w:t>Dotácia na výskumnú, vývojovú alebo umeleckú činnosť sa poskytuje podľa § 89 ods. 5 zákona. V súlade s § 16 zákona č. 172/2005 Z. z. o organizácii štátnej podpory výskumu a vývoja a o doplnení zákona č. 575/2001 Z. z. o organizácii činnosti vlády a organizácii ústrednej štátnej správy v znení neskorších predpisov (ďalej len „zákon o podpore výskumu a vývoja“) sa štátna podpora výskumu a vývoja na verejných vysokých školách poskytuje inštitucionálnou formou a účelovou formou (poskytovanie finančných prostriedkov na riešenie projektov výskumu a vývoja prostredníctvom Agentúry na podporu výskumu a vývoja). Účelová forma je poskytovaná na základe súťaže podľa § 18 ods. 1 zákona o podpore výskumu a vývoja. Dotáciu na výskumnú, vývojovú alebo umeleckú činnosť v zmysle § 89 ods. 5 zákona, ktorá je predmetom dotačnej zmluvy, tvorí inštitucionálna forma výskumu a vývoja. Účelová forma podpory výskumu a vývoja je poskytovaná v súlade s § 20 ods. 1 zákona o podpore výskumu a vývoja na základe osobitných písomných zmlúv verejnej vysokej školy s poskytovateľom.</w:t>
      </w:r>
      <w:bookmarkEnd w:id="14"/>
    </w:p>
    <w:p w:rsidR="00C80704" w:rsidRPr="00D62B6E" w:rsidRDefault="00C80704" w:rsidP="00F6046E">
      <w:pPr>
        <w:pStyle w:val="odsek"/>
        <w:numPr>
          <w:ilvl w:val="0"/>
          <w:numId w:val="0"/>
        </w:numPr>
      </w:pPr>
      <w:r w:rsidRPr="00D62B6E">
        <w:t xml:space="preserve">Finančné prostriedky poskytované v rámci inštitucionálnej formy podpory výskumu a vývoja verejných vysokých škôl sú rozpočtované v rámci podprogramu </w:t>
      </w:r>
      <w:r w:rsidRPr="00D62B6E">
        <w:rPr>
          <w:i/>
          <w:iCs/>
        </w:rPr>
        <w:t>077 12 –</w:t>
      </w:r>
      <w:r w:rsidRPr="00D62B6E">
        <w:t xml:space="preserve"> V</w:t>
      </w:r>
      <w:r w:rsidRPr="00D62B6E">
        <w:rPr>
          <w:i/>
          <w:iCs/>
        </w:rPr>
        <w:t>ysokoškolská veda a technika</w:t>
      </w:r>
      <w:r w:rsidRPr="00D62B6E">
        <w:t xml:space="preserve"> a </w:t>
      </w:r>
      <w:bookmarkStart w:id="15" w:name="_Ref230325748"/>
      <w:bookmarkStart w:id="16" w:name="_Ref232903029"/>
      <w:r w:rsidRPr="00D62B6E">
        <w:t>pozostávajú z  troch častí. Dve z nich, a to VEGA a KEGA, sú prideľované v rámci vnútorného grantového systému ministerstva súťažným spôsobom na projekty podľa ich štatútov</w:t>
      </w:r>
      <w:r w:rsidR="00F6046E">
        <w:t>.</w:t>
      </w:r>
      <w:r w:rsidRPr="00D62B6E">
        <w:t xml:space="preserve"> </w:t>
      </w:r>
    </w:p>
    <w:p w:rsidR="00C80704" w:rsidRPr="00D62B6E" w:rsidRDefault="00C80704" w:rsidP="00C80704">
      <w:pPr>
        <w:pStyle w:val="odsek"/>
        <w:numPr>
          <w:ilvl w:val="0"/>
          <w:numId w:val="0"/>
        </w:numPr>
      </w:pPr>
      <w:r w:rsidRPr="00D62B6E">
        <w:t xml:space="preserve">Tretiu časť pod prvkom 077 12 01 je tvorená dotáciou na prevádzku a rozvoj infraštruktúry pre výskum a vývoj, osobnými nákladmi na učiteľov zodpovedajúce ich výskumnej a umeleckej činnosti a na štipendiá doktorandov v sume </w:t>
      </w:r>
      <w:r w:rsidR="00666A4A">
        <w:t>1 056 240,-</w:t>
      </w:r>
      <w:r w:rsidRPr="00D62B6E">
        <w:t xml:space="preserve"> eur.</w:t>
      </w:r>
    </w:p>
    <w:p w:rsidR="00C80704" w:rsidRPr="00D62B6E" w:rsidRDefault="00C80704" w:rsidP="00C80704">
      <w:pPr>
        <w:pStyle w:val="odsek"/>
      </w:pPr>
      <w:r w:rsidRPr="00D62B6E">
        <w:t>Pre valorizáciu platový</w:t>
      </w:r>
      <w:r>
        <w:t xml:space="preserve">ch taríf výskumných pracovníkov </w:t>
      </w:r>
      <w:r w:rsidRPr="00D62B6E">
        <w:t xml:space="preserve">a štipendií doktorandov na podprograme 077 12 sa účelovo určuje suma </w:t>
      </w:r>
      <w:r w:rsidR="00B223F7">
        <w:t xml:space="preserve">82 946,- </w:t>
      </w:r>
      <w:r w:rsidRPr="00D62B6E">
        <w:t>eur, z toho: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- dopady 3 % valorizácie platových taríf pre výskumných pracovníkov v sume </w:t>
      </w:r>
      <w:r w:rsidR="00B223F7">
        <w:t>3 878,-</w:t>
      </w:r>
      <w:r w:rsidRPr="00D62B6E">
        <w:t xml:space="preserve"> eur,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- dopady 3 % valorizácie platových taríf na  štipendiá doktorandov v sume </w:t>
      </w:r>
      <w:r w:rsidR="00B223F7">
        <w:t>11 937,-</w:t>
      </w:r>
      <w:r w:rsidRPr="00D62B6E">
        <w:t xml:space="preserve"> eur,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- valorizácia platových taríf od 1.1.2023 pre výskumných pracovníkov 10 % v sume </w:t>
      </w:r>
      <w:r w:rsidR="00B223F7">
        <w:t>12 188,-</w:t>
      </w:r>
      <w:r w:rsidRPr="00D62B6E">
        <w:t xml:space="preserve"> eur,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 - valorizácia platových taríf od 1.1.2023 na  štipendiá doktorandov 10 % v sume </w:t>
      </w:r>
      <w:r w:rsidR="000A7287">
        <w:t>.</w:t>
      </w:r>
      <w:r w:rsidR="00B223F7">
        <w:t>34 452,-</w:t>
      </w:r>
      <w:r w:rsidRPr="00D62B6E">
        <w:t xml:space="preserve"> eur,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- valorizácia platových taríf od 1.9.2023 pre výskumných pracovníkov 12 % v sume </w:t>
      </w:r>
      <w:r w:rsidR="00B223F7">
        <w:t xml:space="preserve">5 307,- </w:t>
      </w:r>
      <w:r w:rsidRPr="00D62B6E">
        <w:t>eur,</w:t>
      </w:r>
    </w:p>
    <w:p w:rsidR="00C80704" w:rsidRPr="00D62B6E" w:rsidRDefault="00C80704" w:rsidP="00CF3F32">
      <w:pPr>
        <w:pStyle w:val="odsek"/>
        <w:numPr>
          <w:ilvl w:val="0"/>
          <w:numId w:val="0"/>
        </w:numPr>
        <w:spacing w:before="0" w:after="0"/>
      </w:pPr>
      <w:r w:rsidRPr="00D62B6E">
        <w:t xml:space="preserve"> - valorizácia platových taríf od 1.9.2023 na štipendiá doktorandov 12 % v sume </w:t>
      </w:r>
      <w:r w:rsidR="00B223F7">
        <w:t>15.184,-</w:t>
      </w:r>
      <w:r w:rsidRPr="00D62B6E">
        <w:t xml:space="preserve"> eur</w:t>
      </w:r>
      <w:r>
        <w:t xml:space="preserve">. </w:t>
      </w:r>
    </w:p>
    <w:p w:rsidR="00C80704" w:rsidRPr="00D62B6E" w:rsidRDefault="00C80704" w:rsidP="00C80704">
      <w:pPr>
        <w:pStyle w:val="odsek"/>
      </w:pPr>
      <w:bookmarkStart w:id="17" w:name="_Ref379214348"/>
      <w:r w:rsidRPr="00D62B6E">
        <w:t xml:space="preserve">Pri rozpise dotácie na prevádzku a rozvoj infraštruktúry pre výskum a vývoj </w:t>
      </w:r>
      <w:r w:rsidR="000A7287">
        <w:t xml:space="preserve">bola UJS pridelená dotácia v sume  </w:t>
      </w:r>
      <w:r w:rsidR="00CF3F32" w:rsidRPr="00CF3F32">
        <w:rPr>
          <w:b/>
        </w:rPr>
        <w:t>973 29</w:t>
      </w:r>
      <w:r w:rsidR="00CF3F32">
        <w:rPr>
          <w:b/>
        </w:rPr>
        <w:t>4</w:t>
      </w:r>
      <w:r w:rsidR="00CF3F32">
        <w:t xml:space="preserve">,- </w:t>
      </w:r>
      <w:r w:rsidRPr="00D62B6E">
        <w:rPr>
          <w:b/>
        </w:rPr>
        <w:t>€</w:t>
      </w:r>
      <w:r w:rsidR="000A7287">
        <w:rPr>
          <w:b/>
        </w:rPr>
        <w:t xml:space="preserve"> </w:t>
      </w:r>
      <w:r w:rsidRPr="00D62B6E">
        <w:t xml:space="preserve"> </w:t>
      </w:r>
      <w:r w:rsidR="000A7287">
        <w:t xml:space="preserve">podľa </w:t>
      </w:r>
      <w:r w:rsidRPr="00D62B6E">
        <w:t xml:space="preserve"> výkon</w:t>
      </w:r>
      <w:r w:rsidR="000A7287">
        <w:t>u</w:t>
      </w:r>
      <w:r w:rsidRPr="00D62B6E">
        <w:t xml:space="preserve"> vo výskume odvoden</w:t>
      </w:r>
      <w:r w:rsidR="000A7287">
        <w:t>ého</w:t>
      </w:r>
      <w:r w:rsidRPr="00D62B6E">
        <w:t xml:space="preserve"> od nasledujúcich výkonových parametrov:</w:t>
      </w:r>
      <w:bookmarkEnd w:id="15"/>
      <w:bookmarkEnd w:id="16"/>
      <w:bookmarkEnd w:id="17"/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 priemerného 6 ročného intervalu výkonu pre výskum a vývoj od roku 2017 až po rok 2022 (okrem dotácie odvodenej od výsledkov hodnotenia kvality výskumnej činnosti </w:t>
      </w:r>
      <w:r w:rsidR="000A7287">
        <w:t>fakúlt</w:t>
      </w:r>
      <w:r w:rsidRPr="00D62B6E">
        <w:t xml:space="preserve"> podľa poslednej komplexnej akreditácie a exelentných pracovísk)  </w:t>
      </w:r>
      <w:r w:rsidR="004D5A74" w:rsidRPr="004D5A74">
        <w:rPr>
          <w:b/>
        </w:rPr>
        <w:t>285 </w:t>
      </w:r>
      <w:r w:rsidR="00CF3F32">
        <w:rPr>
          <w:b/>
        </w:rPr>
        <w:t>097</w:t>
      </w:r>
      <w:r w:rsidR="004D5A74">
        <w:t xml:space="preserve">,- € </w:t>
      </w:r>
      <w:r w:rsidRPr="00D62B6E">
        <w:t>(váha 0,</w:t>
      </w:r>
      <w:r>
        <w:t>312</w:t>
      </w:r>
      <w:r w:rsidRPr="00D62B6E">
        <w:t>),  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podielu </w:t>
      </w:r>
      <w:r w:rsidR="000A7287">
        <w:t xml:space="preserve">fakúlt </w:t>
      </w:r>
      <w:r w:rsidRPr="00D62B6E">
        <w:t>na objeme finančných prostriedkov získaných v rokoch 2020 a 2021 na výskumné aktivity v rámci zahraničných grantových schém</w:t>
      </w:r>
      <w:r w:rsidR="004D5A74">
        <w:t xml:space="preserve"> </w:t>
      </w:r>
      <w:r w:rsidR="004D5A74" w:rsidRPr="004D5A74">
        <w:rPr>
          <w:b/>
        </w:rPr>
        <w:t>211 844</w:t>
      </w:r>
      <w:r w:rsidR="004D5A74">
        <w:t>,- €</w:t>
      </w:r>
      <w:r w:rsidRPr="00D62B6E">
        <w:t xml:space="preserve"> (váha 0,10),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podielu </w:t>
      </w:r>
      <w:r w:rsidR="000A7287">
        <w:t>fakúlt</w:t>
      </w:r>
      <w:r w:rsidRPr="00D62B6E">
        <w:t xml:space="preserve"> na objeme finančných prostriedkov (bežné transfery) získaných v rokoch 2020 a 2021 na výskumné aktivity od subjektov verejnej správy – domáce granty, </w:t>
      </w:r>
      <w:r w:rsidR="004D5A74" w:rsidRPr="004D5A74">
        <w:rPr>
          <w:b/>
        </w:rPr>
        <w:t>26 792</w:t>
      </w:r>
      <w:r w:rsidR="004D5A74">
        <w:t xml:space="preserve">,-€ </w:t>
      </w:r>
      <w:r w:rsidRPr="00D62B6E">
        <w:t>(váha 0,09)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podielu </w:t>
      </w:r>
      <w:r w:rsidR="000A7287">
        <w:t>fakúlt</w:t>
      </w:r>
      <w:r w:rsidRPr="00D62B6E">
        <w:t xml:space="preserve"> na objeme finančných prostriedkov (bežné transfery) získaných v rokoch 2020 a 2021 na výskumné aktivity od iných subjektov ako sú subjekty verejnej správy a od subjektov zo zahraničia (mimo grantových schém)</w:t>
      </w:r>
      <w:r w:rsidR="004D5A74">
        <w:t xml:space="preserve"> </w:t>
      </w:r>
      <w:r w:rsidRPr="00D62B6E">
        <w:t>(váha 0,03),</w:t>
      </w:r>
    </w:p>
    <w:p w:rsidR="000A7287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>
        <w:t xml:space="preserve">podielu </w:t>
      </w:r>
      <w:r w:rsidR="000A7287">
        <w:t>fakúlt</w:t>
      </w:r>
      <w:r w:rsidRPr="00D62B6E">
        <w:t xml:space="preserve"> na priemernom počte doktorandov v dennej forme doktorandského štúdia po dizertačnej skúške v kalendárnom roku 2021 </w:t>
      </w:r>
      <w:r w:rsidR="004D5A74" w:rsidRPr="004D5A74">
        <w:rPr>
          <w:b/>
        </w:rPr>
        <w:t>49 482,-€</w:t>
      </w:r>
      <w:r w:rsidR="004D5A74">
        <w:t xml:space="preserve"> </w:t>
      </w:r>
      <w:r w:rsidR="004D5A74" w:rsidRPr="00D62B6E">
        <w:t xml:space="preserve"> </w:t>
      </w:r>
      <w:r w:rsidRPr="00D62B6E">
        <w:t>(váha 0,10), 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lastRenderedPageBreak/>
        <w:t xml:space="preserve">podielu </w:t>
      </w:r>
      <w:r w:rsidR="000A7287">
        <w:t>fakúlt</w:t>
      </w:r>
      <w:r w:rsidRPr="00D62B6E">
        <w:t xml:space="preserve"> na publikačnej činnosti  </w:t>
      </w:r>
      <w:r w:rsidR="004D5A74" w:rsidRPr="004D5A74">
        <w:rPr>
          <w:b/>
        </w:rPr>
        <w:t>388 099</w:t>
      </w:r>
      <w:r w:rsidR="004D5A74">
        <w:t>,- €</w:t>
      </w:r>
      <w:r w:rsidRPr="00D62B6E">
        <w:t>(váha 0,225),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podielu </w:t>
      </w:r>
      <w:r w:rsidR="000A7287">
        <w:t>fakúlt</w:t>
      </w:r>
      <w:r w:rsidRPr="00D62B6E">
        <w:t xml:space="preserve"> na umeleckej tvorbe  (váha 0,025</w:t>
      </w:r>
      <w:bookmarkStart w:id="18" w:name="_Ref282201948"/>
      <w:r w:rsidRPr="00D62B6E">
        <w:t xml:space="preserve">) a </w:t>
      </w:r>
    </w:p>
    <w:p w:rsidR="00C80704" w:rsidRPr="00D62B6E" w:rsidRDefault="00C80704" w:rsidP="004D5A74">
      <w:pPr>
        <w:pStyle w:val="odsek-pismeno"/>
        <w:numPr>
          <w:ilvl w:val="0"/>
          <w:numId w:val="21"/>
        </w:numPr>
        <w:spacing w:before="0" w:after="0"/>
        <w:ind w:left="839" w:hanging="357"/>
      </w:pPr>
      <w:r w:rsidRPr="00D62B6E">
        <w:t xml:space="preserve">podľa výkonu v 1. kvartile excelentných pracovísk </w:t>
      </w:r>
      <w:r w:rsidR="004D5A74">
        <w:t xml:space="preserve"> </w:t>
      </w:r>
      <w:r w:rsidR="004D5A74" w:rsidRPr="004D5A74">
        <w:rPr>
          <w:b/>
        </w:rPr>
        <w:t>11 980,-</w:t>
      </w:r>
      <w:r w:rsidR="004D5A74">
        <w:t xml:space="preserve"> € </w:t>
      </w:r>
      <w:r w:rsidRPr="00D62B6E">
        <w:t>(0,</w:t>
      </w:r>
      <w:r>
        <w:t>118</w:t>
      </w:r>
      <w:r w:rsidRPr="00D62B6E">
        <w:t>)</w:t>
      </w:r>
      <w:r>
        <w:t xml:space="preserve">. </w:t>
      </w:r>
    </w:p>
    <w:bookmarkEnd w:id="18"/>
    <w:p w:rsidR="00C80704" w:rsidRPr="00D62B6E" w:rsidRDefault="00C80704" w:rsidP="00CD0ACC">
      <w:pPr>
        <w:pStyle w:val="odsek"/>
        <w:numPr>
          <w:ilvl w:val="0"/>
          <w:numId w:val="0"/>
        </w:numPr>
      </w:pPr>
      <w:r w:rsidRPr="00D62B6E">
        <w:t>Výskumnou aktivitou je riešenie projektu výskumu a vývoja alebo tvorivého umeleckého projektu. Spôsob získania finančných prostriedkov na výskumnú aktivitu mimo otvorených grantových schém musí štandardne obsahovať súťažný prvok.</w:t>
      </w:r>
    </w:p>
    <w:p w:rsidR="00C80704" w:rsidRPr="00D62B6E" w:rsidRDefault="00C80704" w:rsidP="00CD0ACC">
      <w:pPr>
        <w:pStyle w:val="odsek"/>
        <w:numPr>
          <w:ilvl w:val="0"/>
          <w:numId w:val="0"/>
        </w:numPr>
      </w:pPr>
      <w:bookmarkStart w:id="19" w:name="_Ref468025193"/>
      <w:r w:rsidRPr="00D62B6E">
        <w:t xml:space="preserve">Z finančných prostriedkov pripadajúcich na publikačnú činnosť, sa 0,88 % rozpisuje úmerne počtu záznamov v CREPČ za roky 2020 a 2021 v kategórii AGJ a zvyšok sa rozdeľuje medzi množiny oblastí výskumu; oblasti výskumu vychádzajú z rozdelenia Akreditačnou komisiou a spolu s ich váhou na celkovom podiele financovania sú uvedené </w:t>
      </w:r>
      <w:r w:rsidRPr="00D4256A">
        <w:rPr>
          <w:b/>
        </w:rPr>
        <w:t xml:space="preserve">v prílohe č. </w:t>
      </w:r>
      <w:r w:rsidR="00D4256A" w:rsidRPr="00D4256A">
        <w:rPr>
          <w:b/>
        </w:rPr>
        <w:t>3</w:t>
      </w:r>
      <w:r w:rsidRPr="00D62B6E">
        <w:t>.</w:t>
      </w:r>
      <w:bookmarkEnd w:id="19"/>
      <w:r w:rsidRPr="00D62B6E">
        <w:t xml:space="preserve"> Pre jednotlivé skupiny publikačnej činnosti sa osobitne určuje podiel, ktorým sa podieľajú jednotlivé skupiny publikačnej činnosti na rozpise danej množiny oblastí výskumu. V prípade skupiny A1 a D sa publikačné výstupy, ktoré sú indexované v databáze WoS, zohľadňujú desaťkrát väčšou váhou. V prípade skupiny B sa zohľadňuje najlepší kvartil, v ktorom je zaradený časopis podľa indikátora JCR v roku 2020, resp. 2021. Prvý kvartil je zohľadnený váhou 6, druhý kvartil váhou 4, tretí kvartil váhou 1 a štvrtý kvartil váhou 0,5. Pre jednotlivé kategórie publikačných výstupov sa používa aj váha uvedená v </w:t>
      </w:r>
      <w:r w:rsidRPr="00D4256A">
        <w:rPr>
          <w:b/>
        </w:rPr>
        <w:t>prílohe č.</w:t>
      </w:r>
      <w:r w:rsidR="00D4256A" w:rsidRPr="00D4256A">
        <w:rPr>
          <w:b/>
        </w:rPr>
        <w:t xml:space="preserve">  1</w:t>
      </w:r>
      <w:r w:rsidRPr="00D4256A">
        <w:rPr>
          <w:b/>
        </w:rPr>
        <w:t xml:space="preserve"> v stĺpci D2</w:t>
      </w:r>
      <w:r w:rsidRPr="00D62B6E">
        <w:t>.</w:t>
      </w:r>
    </w:p>
    <w:p w:rsidR="00CD0ACC" w:rsidRDefault="00C80704" w:rsidP="00CD0ACC">
      <w:pPr>
        <w:pStyle w:val="odsek"/>
        <w:numPr>
          <w:ilvl w:val="0"/>
          <w:numId w:val="0"/>
        </w:numPr>
      </w:pPr>
      <w:r w:rsidRPr="00D62B6E">
        <w:t xml:space="preserve">Na financovanie projektov v rámci vnútornej grantovej schémy VEGA a na financovanie projektov v rámci vnútornej grantovej schémy KEGA </w:t>
      </w:r>
      <w:r w:rsidR="00CD0ACC">
        <w:t xml:space="preserve"> budú uzatvorené dodatky z zmluve</w:t>
      </w:r>
      <w:r w:rsidRPr="00D62B6E">
        <w:t>.</w:t>
      </w:r>
    </w:p>
    <w:p w:rsidR="00C80704" w:rsidRDefault="00C80704" w:rsidP="00CD0ACC">
      <w:pPr>
        <w:pStyle w:val="odsek"/>
        <w:numPr>
          <w:ilvl w:val="0"/>
          <w:numId w:val="0"/>
        </w:numPr>
      </w:pPr>
      <w:r w:rsidRPr="00D62B6E">
        <w:t xml:space="preserve">Na podporu špičkových kolektívov </w:t>
      </w:r>
      <w:r w:rsidR="00CD0ACC">
        <w:t xml:space="preserve">UJS má pridelenú dotáciu v </w:t>
      </w:r>
      <w:r w:rsidRPr="00D62B6E">
        <w:t>sum</w:t>
      </w:r>
      <w:r w:rsidR="00CD0ACC">
        <w:t>e</w:t>
      </w:r>
      <w:r w:rsidRPr="00D62B6E">
        <w:t xml:space="preserve"> </w:t>
      </w:r>
      <w:r w:rsidR="00CF3F32" w:rsidRPr="004102CC">
        <w:rPr>
          <w:b/>
        </w:rPr>
        <w:t>11 980</w:t>
      </w:r>
      <w:r w:rsidR="00CF3F32">
        <w:t>,-</w:t>
      </w:r>
      <w:r w:rsidRPr="00D62B6E">
        <w:t xml:space="preserve"> eur. Táto sa medzi jednotlivé </w:t>
      </w:r>
      <w:r w:rsidR="00CD0ACC">
        <w:t>fakulty</w:t>
      </w:r>
      <w:r w:rsidRPr="00D62B6E">
        <w:t xml:space="preserve"> rozpíše úmerne počtu členov špičkového kolektívu, ktorí boli predmetom druhého hodnotenia zo strany Akreditačnej komisie, resp. ich upravený počet s ohľadom na ukončenie pôsobenia v rámci špičkového tímu</w:t>
      </w:r>
      <w:r w:rsidR="00CF3F32">
        <w:t xml:space="preserve"> nasledovne: Pedagogická fakulta 3 042,- €, Fakulta ekonómie a informatiky 8 938,- €</w:t>
      </w:r>
      <w:r w:rsidRPr="00D62B6E">
        <w:t xml:space="preserve">. </w:t>
      </w:r>
    </w:p>
    <w:p w:rsidR="00CD0ACC" w:rsidRPr="00D62B6E" w:rsidRDefault="00CD0ACC" w:rsidP="00CD0ACC">
      <w:pPr>
        <w:pStyle w:val="odsek"/>
        <w:numPr>
          <w:ilvl w:val="0"/>
          <w:numId w:val="0"/>
        </w:numPr>
      </w:pPr>
      <w:r>
        <w:t xml:space="preserve">Doktorandi sú financovaní z prostriedkov pridelených v rozpise dotácie v podprograme 077 12 01. Ich počet si stanovia fakulty podľa svojich finančných možností. V návrhu metodiky rozpisu dotácií sa finančné prostriedky na štipendiá doktorandov </w:t>
      </w:r>
      <w:r w:rsidR="00654212">
        <w:t>navrhujú samostatne.</w:t>
      </w:r>
      <w:r>
        <w:t xml:space="preserve"> </w:t>
      </w:r>
    </w:p>
    <w:p w:rsidR="00C80704" w:rsidRPr="00654212" w:rsidRDefault="00C80704" w:rsidP="00C80704">
      <w:pPr>
        <w:pStyle w:val="Nadpis3vavomal"/>
        <w:rPr>
          <w:i/>
          <w:iCs/>
          <w:lang w:val="sk-SK"/>
        </w:rPr>
      </w:pPr>
      <w:r w:rsidRPr="00654212">
        <w:rPr>
          <w:i/>
          <w:iCs/>
          <w:lang w:val="sk-SK"/>
        </w:rPr>
        <w:t>Dotácia na rozvoj vysokej školy (podprogram 077 13)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r w:rsidRPr="00D62B6E">
        <w:t>Dotácia na rozvoj vysokej školy sa poskytuje podľa § 89 ods. 6 zákona, ktorý uvádza: Dotácia na rozvoj vysokej školy sa určuje na základe výberového konania, v ktorého rámci vysoké školy predkladajú ministerstvu školstva projekty na uskutočňovanie svojich rozvojových programov. Pri tomto výberovom konaní sa berie do úvahy kvalita predkladaných projektov, dlhodobý zámer ministerstva školstva a dlhodobý zámer verejnej vysokej školy.</w:t>
      </w:r>
      <w:r w:rsidR="00654212">
        <w:t xml:space="preserve"> UJS v roku 2023 nemá pridelené finančné prostriedky na dotáciu na rozvoj. </w:t>
      </w:r>
    </w:p>
    <w:p w:rsidR="00C80704" w:rsidRPr="00D62B6E" w:rsidRDefault="00C80704" w:rsidP="00C80704">
      <w:pPr>
        <w:pStyle w:val="Nadpis3vavomal"/>
        <w:rPr>
          <w:i/>
          <w:iCs/>
          <w:lang w:val="sk-SK"/>
        </w:rPr>
      </w:pPr>
      <w:r w:rsidRPr="00D62B6E">
        <w:rPr>
          <w:i/>
          <w:iCs/>
          <w:lang w:val="sk-SK"/>
        </w:rPr>
        <w:t>Dotácia na sociálnu podporu študentov</w:t>
      </w:r>
      <w:r>
        <w:rPr>
          <w:i/>
          <w:iCs/>
          <w:lang w:val="sk-SK"/>
        </w:rPr>
        <w:t xml:space="preserve"> </w:t>
      </w:r>
      <w:r w:rsidRPr="00D62B6E">
        <w:rPr>
          <w:i/>
          <w:iCs/>
          <w:lang w:val="sk-SK"/>
        </w:rPr>
        <w:t>(podprogram 077</w:t>
      </w:r>
      <w:r>
        <w:rPr>
          <w:i/>
          <w:iCs/>
          <w:lang w:val="sk-SK"/>
        </w:rPr>
        <w:t xml:space="preserve"> </w:t>
      </w:r>
      <w:r w:rsidRPr="00D62B6E">
        <w:rPr>
          <w:i/>
          <w:iCs/>
          <w:lang w:val="sk-SK"/>
        </w:rPr>
        <w:t>15)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r w:rsidRPr="00D62B6E">
        <w:t xml:space="preserve">Dotácia na sociálnu podporu študentov sa poskytuje podľa § 89 ods. 7 zákona, ktorý uvádza: Dotácia na sociálnu podporu študentov vychádza z nárokov študentov podľa § 96,  96a ods. 1 a § 96b a pri nenárokových položkách sociálnej podpory z možností štátneho rozpočtu. Na časť dotácie vychádzajúcu z nárokov študentov podľa § 96, 96a ods. 1 a § 96b má vysoká škola právny nárok. Pokiaľ ide o formy sociálnej podpory, v § 94 zákona sa uvádza: Sociálna podpora študentom sa poskytuje priamou a nepriamou formou. Priamou formou sociálnej podpory sú štipendiá (sociálne, motivačné a tehotenské). Nepriamou formou sociálnej podpory sú najmä tieto služby </w:t>
      </w:r>
    </w:p>
    <w:p w:rsidR="009553C1" w:rsidRDefault="00C80704" w:rsidP="006B3888">
      <w:pPr>
        <w:pStyle w:val="odsek-pismeno"/>
        <w:numPr>
          <w:ilvl w:val="0"/>
          <w:numId w:val="22"/>
        </w:numPr>
        <w:spacing w:before="0" w:after="0"/>
      </w:pPr>
      <w:r w:rsidRPr="00D62B6E">
        <w:lastRenderedPageBreak/>
        <w:t>stravovanie a ubytovanie podľa možností vysokej školy s poskytnutím príspevku na náklady spoje</w:t>
      </w:r>
      <w:r w:rsidR="009553C1">
        <w:t>né so stravovaním a ubytovaním,</w:t>
      </w:r>
    </w:p>
    <w:p w:rsidR="00C80704" w:rsidRPr="00D62B6E" w:rsidRDefault="00C80704" w:rsidP="006B3888">
      <w:pPr>
        <w:pStyle w:val="odsek-pismeno"/>
        <w:numPr>
          <w:ilvl w:val="0"/>
          <w:numId w:val="22"/>
        </w:numPr>
        <w:spacing w:before="0" w:after="0"/>
      </w:pPr>
      <w:r w:rsidRPr="00D62B6E">
        <w:t>finančná podpora a organizačná podpora športových činností, kultúrnych činností  a iných záujmových činností študentov.</w:t>
      </w:r>
    </w:p>
    <w:p w:rsidR="00C80704" w:rsidRPr="00D62B6E" w:rsidRDefault="00C80704" w:rsidP="004102CC">
      <w:pPr>
        <w:pStyle w:val="odsek"/>
        <w:numPr>
          <w:ilvl w:val="0"/>
          <w:numId w:val="0"/>
        </w:numPr>
        <w:spacing w:before="0" w:after="0"/>
      </w:pPr>
      <w:r w:rsidRPr="00D62B6E">
        <w:t>Na sociálnu podporu študentov sa vyčle</w:t>
      </w:r>
      <w:r w:rsidR="00654212">
        <w:t>nili finančné prostriedky v</w:t>
      </w:r>
      <w:r w:rsidRPr="00D62B6E">
        <w:t xml:space="preserve"> sum</w:t>
      </w:r>
      <w:r w:rsidR="00654212">
        <w:t>e</w:t>
      </w:r>
      <w:r w:rsidRPr="00D62B6E">
        <w:t xml:space="preserve"> </w:t>
      </w:r>
      <w:r w:rsidR="004102CC" w:rsidRPr="004102CC">
        <w:rPr>
          <w:b/>
        </w:rPr>
        <w:t>466 617,-</w:t>
      </w:r>
      <w:r w:rsidR="004102CC">
        <w:t xml:space="preserve"> €</w:t>
      </w:r>
      <w:r w:rsidR="009553C1">
        <w:t xml:space="preserve">, z toho na ubytovanie a prevádzku študentských domovov </w:t>
      </w:r>
      <w:r w:rsidR="009553C1" w:rsidRPr="009553C1">
        <w:rPr>
          <w:b/>
        </w:rPr>
        <w:t>297 090,-</w:t>
      </w:r>
      <w:r w:rsidR="009553C1">
        <w:t xml:space="preserve"> €</w:t>
      </w:r>
    </w:p>
    <w:p w:rsidR="00C80704" w:rsidRPr="00654212" w:rsidRDefault="00C80704" w:rsidP="00654212">
      <w:pPr>
        <w:pStyle w:val="Nadpis7"/>
        <w:keepLines w:val="0"/>
        <w:autoSpaceDE w:val="0"/>
        <w:autoSpaceDN w:val="0"/>
        <w:spacing w:before="120" w:after="120" w:line="240" w:lineRule="auto"/>
        <w:ind w:left="720"/>
        <w:rPr>
          <w:rFonts w:ascii="Times New Roman" w:hAnsi="Times New Roman"/>
          <w:b/>
          <w:i w:val="0"/>
          <w:color w:val="auto"/>
        </w:rPr>
      </w:pPr>
      <w:r w:rsidRPr="00654212">
        <w:rPr>
          <w:rFonts w:ascii="Times New Roman" w:hAnsi="Times New Roman"/>
          <w:b/>
          <w:color w:val="auto"/>
        </w:rPr>
        <w:t>Sociálne štipendiá a tehotenské štipendiá (prvok 077 15 01)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r w:rsidRPr="00D62B6E">
        <w:t xml:space="preserve">Dotácie na sociálne a tehotenské štipendiá sú poskytované účelovo. Študent má na sociálne a tehotenské štipendium právny nárok, a preto sú obe štipendiá pokrývané v plnej výške. Objem zálohovo poskytnutých finančných prostriedkov v rámci schváleného rozpočtu na rok 2023 </w:t>
      </w:r>
      <w:r w:rsidR="006E4D56">
        <w:t xml:space="preserve">v sume </w:t>
      </w:r>
      <w:r w:rsidR="006E4D56" w:rsidRPr="006E4D56">
        <w:rPr>
          <w:b/>
        </w:rPr>
        <w:t>45 179,- €</w:t>
      </w:r>
      <w:r w:rsidR="006E4D56">
        <w:t xml:space="preserve"> </w:t>
      </w:r>
      <w:r w:rsidRPr="00D62B6E">
        <w:t>závisí od poskytnutej dotácie na tento účel v roku 2022.</w:t>
      </w:r>
      <w:r w:rsidR="006E4D56">
        <w:t xml:space="preserve"> </w:t>
      </w:r>
      <w:r w:rsidRPr="00D62B6E">
        <w:t xml:space="preserve"> Korekcia na skutočnú potrebu sociálnych a tehotenských štipendií sa vykonáva podľa požiadaviek </w:t>
      </w:r>
      <w:r w:rsidR="00654212">
        <w:t>univerzity</w:t>
      </w:r>
      <w:r w:rsidRPr="00D62B6E">
        <w:t>, najviac 2x ročne.</w:t>
      </w:r>
    </w:p>
    <w:p w:rsidR="00C80704" w:rsidRPr="00654212" w:rsidRDefault="00C80704" w:rsidP="00654212">
      <w:pPr>
        <w:pStyle w:val="Nadpis7"/>
        <w:keepLines w:val="0"/>
        <w:autoSpaceDE w:val="0"/>
        <w:autoSpaceDN w:val="0"/>
        <w:spacing w:before="120" w:after="120" w:line="240" w:lineRule="auto"/>
        <w:ind w:left="720"/>
        <w:rPr>
          <w:rFonts w:ascii="Times New Roman" w:hAnsi="Times New Roman"/>
          <w:b/>
          <w:i w:val="0"/>
        </w:rPr>
      </w:pPr>
      <w:r w:rsidRPr="00D62B6E">
        <w:rPr>
          <w:rFonts w:ascii="Times New Roman" w:hAnsi="Times New Roman"/>
        </w:rPr>
        <w:t> </w:t>
      </w:r>
      <w:r w:rsidRPr="00654212">
        <w:rPr>
          <w:rFonts w:ascii="Times New Roman" w:hAnsi="Times New Roman"/>
          <w:b/>
          <w:color w:val="auto"/>
        </w:rPr>
        <w:t>Motivačné štipendiá (prvok 077 15 02)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bookmarkStart w:id="20" w:name="_Ref339461577"/>
      <w:r w:rsidRPr="00D62B6E">
        <w:t>Dotácie na motivačné štipendiá sú poskytované účelovo. Dotácia na motivačné štipendium bude</w:t>
      </w:r>
      <w:r w:rsidR="00654212">
        <w:t xml:space="preserve"> UJS</w:t>
      </w:r>
      <w:r w:rsidRPr="00D62B6E">
        <w:t xml:space="preserve"> poskytnutá tak, aby 10 %-ám študentov v dennej forme štúdia k 31. októbru 2021 (okrem doktorandov), mohlo byť priznané motivačné štipendium vo výške </w:t>
      </w:r>
      <w:r w:rsidRPr="00D62B6E">
        <w:rPr>
          <w:b/>
        </w:rPr>
        <w:t>500 €</w:t>
      </w:r>
      <w:r w:rsidRPr="00D62B6E">
        <w:t>. Na výpočet výšky dotácie na motivačné štipendiá platí vzťah:</w:t>
      </w:r>
      <w:bookmarkEnd w:id="20"/>
      <w:r w:rsidRPr="00D62B6E">
        <w:t xml:space="preserve">  </w:t>
      </w:r>
    </w:p>
    <w:p w:rsidR="00C80704" w:rsidRPr="00654212" w:rsidRDefault="00C80704" w:rsidP="00654212">
      <w:pPr>
        <w:pStyle w:val="Zoznam1"/>
      </w:pPr>
      <w:r w:rsidRPr="00654212">
        <w:t>počet študentov v dennej forme x 0,1 x dotácia na 1 študenta v dennej forme.</w:t>
      </w:r>
      <w:r w:rsidR="00654212">
        <w:t xml:space="preserve"> UJS bola poskytnutá dotácia na motivačné štipendiá základné v sume </w:t>
      </w:r>
      <w:r w:rsidR="004102CC">
        <w:t>69 250,-</w:t>
      </w:r>
      <w:r w:rsidR="00654212">
        <w:t xml:space="preserve"> EUR.</w:t>
      </w:r>
    </w:p>
    <w:p w:rsidR="00C80704" w:rsidRDefault="00C80704" w:rsidP="00654212">
      <w:pPr>
        <w:pStyle w:val="odsek"/>
        <w:numPr>
          <w:ilvl w:val="0"/>
          <w:numId w:val="0"/>
        </w:numPr>
      </w:pPr>
      <w:r w:rsidRPr="00D62B6E">
        <w:t xml:space="preserve">Okrem toho </w:t>
      </w:r>
      <w:r w:rsidR="00654212">
        <w:t>bola UJS</w:t>
      </w:r>
      <w:r w:rsidRPr="00D62B6E">
        <w:t xml:space="preserve"> poskyt</w:t>
      </w:r>
      <w:r w:rsidR="00654212">
        <w:t>nutá</w:t>
      </w:r>
      <w:r w:rsidRPr="00D62B6E">
        <w:t xml:space="preserve"> dotácia na motivačné štipendiá pre študentov vo vybraných študijných odboroch. Zoznam študijných odborov je v prílohe č. 3</w:t>
      </w:r>
      <w:r w:rsidR="00654212">
        <w:t xml:space="preserve"> metodiky ministerstva.</w:t>
      </w:r>
      <w:r w:rsidRPr="00D62B6E">
        <w:t xml:space="preserve"> Dotácia je odvodená od počtu študentov vo vybranom študijnom odbore (v prípade učiteľských študijných programoch vo vybraných predmetoch, a to polovičným počtom), v dennej forme štúdia, ktorí sú zohľadňovaní pri určení dotácie na uskutočňovanie akreditovaných študijných programov, ktorých KAP je viac ako 0,94 a pre prvé dva stupne vysokoškolského vzdelávania. Dotácia sa poskytne tak, aby aspoň 15 %-ám študentov bolo možné v roku 2023 poskytnúť štipendium v priemernej výške </w:t>
      </w:r>
      <w:r w:rsidRPr="00D62B6E">
        <w:rPr>
          <w:b/>
        </w:rPr>
        <w:t>1 200 €</w:t>
      </w:r>
      <w:r w:rsidRPr="00D62B6E">
        <w:t xml:space="preserve">. Použitie finančných prostriedkov je účelovo viazané na študentov vo vybraných študijných odboroch a vo vymedzených prípadoch s obmedzením len na bakalárske študijné programy. </w:t>
      </w:r>
    </w:p>
    <w:p w:rsidR="00DF75DF" w:rsidRPr="00654212" w:rsidRDefault="00DF75DF" w:rsidP="00DF75DF">
      <w:pPr>
        <w:pStyle w:val="Zoznam1"/>
      </w:pPr>
      <w:r>
        <w:t>UJS bola poskytnutá dotácia na motivačné štipendiá odborové v sume 16 470,- EUR.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r w:rsidRPr="00D62B6E">
        <w:t>Dotácia na motivačné štipendium sa poskytuje účelovo. Motivačné štipendium je potrebné poskytnúť do konca kalendárneho roka 2023.</w:t>
      </w:r>
    </w:p>
    <w:p w:rsidR="00C80704" w:rsidRPr="00D62B6E" w:rsidRDefault="00C80704" w:rsidP="00C80704">
      <w:pPr>
        <w:pStyle w:val="Nadpis7"/>
        <w:rPr>
          <w:rFonts w:ascii="Times New Roman" w:hAnsi="Times New Roman"/>
          <w:i w:val="0"/>
        </w:rPr>
      </w:pPr>
      <w:r w:rsidRPr="00654212">
        <w:rPr>
          <w:rFonts w:ascii="Times New Roman" w:hAnsi="Times New Roman"/>
          <w:b/>
          <w:color w:val="auto"/>
          <w:sz w:val="24"/>
        </w:rPr>
        <w:t>Príspevok na stravovanie a ubytovanie (prvok 077 15 03)</w:t>
      </w:r>
    </w:p>
    <w:p w:rsidR="00C80704" w:rsidRPr="00D62B6E" w:rsidRDefault="00C80704" w:rsidP="00654212">
      <w:pPr>
        <w:pStyle w:val="odsek"/>
        <w:numPr>
          <w:ilvl w:val="0"/>
          <w:numId w:val="0"/>
        </w:numPr>
      </w:pPr>
      <w:r w:rsidRPr="00D62B6E">
        <w:t>Príspevok na stravovanie sa poskytuje účelovo a len verejným vysokým školám. Výška zálohového príspevku na jedlá (študentom dennej formy vrátane doktorandov) sa poskytuje úmerne v závislosti od počtu vydaných jedál v období od 1. januára 2023 do 30. septembra 2023. Korekcia na skutočnú potrebu sa vykonáva podľa požiadaviek vysokých škôl, najviac 2x ročne.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>Príspevok na stravovanie sa od 1. januára 2023 určuje vo výške 1,50 eur. Výšku príspevku môže ministerstvo v priebehu roka 2023 upraviť v závislosti od disponibilných zdrojov a počtu vydaných jedál, na ktorý sa príspevok uplatní. O prípadnej zmene výšky príspevku na stravovanie bude ministerstvo informovať vysoké školy najmenej 30 dní vopred</w:t>
      </w:r>
      <w:r w:rsidRPr="00D62B6E">
        <w:rPr>
          <w:szCs w:val="22"/>
        </w:rPr>
        <w:t>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rPr>
          <w:szCs w:val="22"/>
        </w:rPr>
        <w:t>Príspevok na stravovanie možno a</w:t>
      </w:r>
      <w:r w:rsidRPr="00D62B6E">
        <w:t xml:space="preserve">plikovať iba v prípade, keď hodnota jedla je najmenej 3,00 €, pričom príspevok študenta na jedlo musí byť minimálne 50 % z rozdielu ceny jedla a výšky </w:t>
      </w:r>
      <w:r w:rsidRPr="00D62B6E">
        <w:lastRenderedPageBreak/>
        <w:t>príspevku poskytnutého ministerstvom (táto hranica je stanovená pre prípad, že vysoká škola by zo svojich zdrojov tiež prispievala na jedlo študentom). Okrem toho systém poskytovania jedál študentom musí byť transparentný a kontrolovateľný, aby umožňoval preukazné zúčtovanie príspevku. Príspevok sa poskytuje formou preddavku maximálne na dve jedlá v jeden deň vydané denným študentom v stravovacom zariadení vysokej školy, respektíve v zmluvnom zariadení. Za stravovacie zariadenie na tieto účely sa nepokladá bufet alebo obdobné zariadenie,  </w:t>
      </w:r>
      <w:r w:rsidRPr="00D62B6E">
        <w:rPr>
          <w:b/>
        </w:rPr>
        <w:t>nie je teda možné</w:t>
      </w:r>
      <w:r w:rsidRPr="00D62B6E">
        <w:t xml:space="preserve">  uplatniť príspevok  pri nákupe potravín systémom ako sa využívajú „gastrolístky“. 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r w:rsidRPr="00D62B6E">
        <w:t>Príspevok na ubytovanie sa poskytuje</w:t>
      </w:r>
    </w:p>
    <w:p w:rsidR="00C80704" w:rsidRPr="00D62B6E" w:rsidRDefault="00C80704" w:rsidP="00DF75DF">
      <w:pPr>
        <w:pStyle w:val="odsek-pismeno"/>
        <w:numPr>
          <w:ilvl w:val="0"/>
          <w:numId w:val="23"/>
        </w:numPr>
        <w:spacing w:before="0" w:after="0"/>
      </w:pPr>
      <w:r w:rsidRPr="00D62B6E">
        <w:t>vysokým školám, ktoré vlastnia študentské domovy,</w:t>
      </w:r>
    </w:p>
    <w:p w:rsidR="00C80704" w:rsidRPr="00D62B6E" w:rsidRDefault="00C80704" w:rsidP="00DF75DF">
      <w:pPr>
        <w:pStyle w:val="odsek-pismeno"/>
        <w:numPr>
          <w:ilvl w:val="0"/>
          <w:numId w:val="23"/>
        </w:numPr>
        <w:spacing w:before="0" w:after="0"/>
      </w:pPr>
      <w:r w:rsidRPr="00D62B6E">
        <w:t>vysokým školám, ktoré majú uzatvorené zmluvy na ubytovanie študentov s inými ubytovacími zariadeniami.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bookmarkStart w:id="21" w:name="_Ref230326319"/>
      <w:r w:rsidRPr="00D62B6E">
        <w:t>Na účely výpočtu výšky príspevku pozostáva príspevok na ubytovanie z dvoch častí, a to:</w:t>
      </w:r>
      <w:bookmarkEnd w:id="21"/>
    </w:p>
    <w:p w:rsidR="00C80704" w:rsidRPr="00D62B6E" w:rsidRDefault="00C80704" w:rsidP="00DF75DF">
      <w:pPr>
        <w:pStyle w:val="odsek-pismeno"/>
        <w:numPr>
          <w:ilvl w:val="0"/>
          <w:numId w:val="24"/>
        </w:numPr>
        <w:spacing w:before="0" w:after="0"/>
      </w:pPr>
      <w:r w:rsidRPr="00D62B6E">
        <w:t>z príspevku na prevádzku študentských domovov vysokých škôl,</w:t>
      </w:r>
    </w:p>
    <w:p w:rsidR="00C80704" w:rsidRPr="00D62B6E" w:rsidRDefault="00C80704" w:rsidP="00DF75DF">
      <w:pPr>
        <w:pStyle w:val="odsek-pismeno"/>
        <w:numPr>
          <w:ilvl w:val="0"/>
          <w:numId w:val="24"/>
        </w:numPr>
        <w:spacing w:before="0" w:after="0"/>
      </w:pPr>
      <w:r w:rsidRPr="00D62B6E">
        <w:t>z príspevku na ubytovaného študenta.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r w:rsidRPr="00D62B6E">
        <w:t>Príspevok na ubytovanie sa poskytuje účelovo.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 xml:space="preserve">V rámci príspevku na prevádzku študentských domovov na rok 2023 podľa odseku </w:t>
      </w:r>
      <w:r w:rsidRPr="00D62B6E">
        <w:fldChar w:fldCharType="begin"/>
      </w:r>
      <w:r w:rsidRPr="00D62B6E">
        <w:instrText xml:space="preserve"> REF _Ref230326319 \n \h  \* MERGEFORMAT </w:instrText>
      </w:r>
      <w:r w:rsidRPr="00D62B6E">
        <w:fldChar w:fldCharType="separate"/>
      </w:r>
      <w:r w:rsidR="00477E56">
        <w:t>0</w:t>
      </w:r>
      <w:r w:rsidRPr="00D62B6E">
        <w:fldChar w:fldCharType="end"/>
      </w:r>
      <w:r w:rsidRPr="00D62B6E">
        <w:t xml:space="preserve"> písm. a) </w:t>
      </w:r>
      <w:r w:rsidR="00571F34">
        <w:t>bola UJS poskytnutá dotácia</w:t>
      </w:r>
      <w:r w:rsidRPr="00D62B6E">
        <w:t xml:space="preserve"> na mzdy zamestnancov a odvody do poistných fondov vo výške 50 % z objemu finančných prostriedkov v roku 2022, a z 50 % odvodeného od počtu lôžok obsadených študentmi (k 31.10.2021), vrátane doktorandov v dennej forme štúdia. Zároveň bude zamestnancom študentských domovov priznané zvýšenie tarifných platov v celkovej sume </w:t>
      </w:r>
      <w:r w:rsidR="006E4D56" w:rsidRPr="009553C1">
        <w:rPr>
          <w:b/>
        </w:rPr>
        <w:t>17 520</w:t>
      </w:r>
      <w:r w:rsidR="006E4D56">
        <w:t>,-</w:t>
      </w:r>
      <w:r w:rsidRPr="00D62B6E">
        <w:t xml:space="preserve"> eur, z toho: 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r w:rsidRPr="00D62B6E">
        <w:t xml:space="preserve">- dopady 3 % valorizácie platových taríf pre zamestnancov študentských domovov v sume </w:t>
      </w:r>
      <w:r w:rsidR="00DF75DF">
        <w:t>3 632,- €</w:t>
      </w:r>
      <w:r w:rsidRPr="00D62B6E">
        <w:t xml:space="preserve"> eur, 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r w:rsidRPr="00D62B6E">
        <w:t xml:space="preserve">- valorizácia platových taríf od 1.1.2023 pre zamestnancov študentských domovov vo výške 7% platových taríf v celkovej sume </w:t>
      </w:r>
      <w:r w:rsidR="00DF75DF">
        <w:t>9 233,- €</w:t>
      </w:r>
      <w:r w:rsidRPr="00D62B6E">
        <w:t xml:space="preserve"> eur </w:t>
      </w:r>
    </w:p>
    <w:p w:rsidR="00C80704" w:rsidRPr="00D62B6E" w:rsidRDefault="00C80704" w:rsidP="00DF75DF">
      <w:pPr>
        <w:pStyle w:val="odsek"/>
        <w:numPr>
          <w:ilvl w:val="0"/>
          <w:numId w:val="0"/>
        </w:numPr>
        <w:spacing w:before="0" w:after="0"/>
      </w:pPr>
      <w:r w:rsidRPr="00D62B6E">
        <w:t xml:space="preserve">a od 1.9.2023 vo výške 10 % platových taríf pre zamestnancov študentských domovov v celkovej sume </w:t>
      </w:r>
      <w:r w:rsidR="00DF75DF">
        <w:t>4 655,-</w:t>
      </w:r>
      <w:r w:rsidRPr="00D62B6E">
        <w:t xml:space="preserve"> eur.</w:t>
      </w:r>
    </w:p>
    <w:p w:rsidR="00C80704" w:rsidRPr="00D62B6E" w:rsidRDefault="00571F34" w:rsidP="00571F34">
      <w:pPr>
        <w:pStyle w:val="odsek"/>
        <w:numPr>
          <w:ilvl w:val="0"/>
          <w:numId w:val="0"/>
        </w:numPr>
      </w:pPr>
      <w:r>
        <w:t>Univerzite bola priznané</w:t>
      </w:r>
      <w:r w:rsidR="00C80704" w:rsidRPr="00D62B6E">
        <w:t xml:space="preserve"> okrem prostriedkov na mzdy zamestnancov študentských domovov a odvody do poistných fondov v rámci príspevku na prevádzku študentských domovov  aj finančné prostriedky na prevádzkové náklady študentských domovov vo výške k</w:t>
      </w:r>
      <w:r w:rsidR="00C80704" w:rsidRPr="00D62B6E">
        <w:rPr>
          <w:vertAlign w:val="subscript"/>
        </w:rPr>
        <w:t xml:space="preserve">u </w:t>
      </w:r>
      <w:r w:rsidR="00C80704" w:rsidRPr="00D62B6E">
        <w:t>* 32 € ročne na každé lôžko v študentskom domove pridelené študentovi (vrátane doktorandov v dennej forme štúdia), kde k</w:t>
      </w:r>
      <w:r w:rsidR="00C80704" w:rsidRPr="00D62B6E">
        <w:rPr>
          <w:vertAlign w:val="subscript"/>
        </w:rPr>
        <w:t>u</w:t>
      </w:r>
      <w:r w:rsidR="00C80704" w:rsidRPr="00D62B6E">
        <w:t xml:space="preserve"> je koeficient náročnosti údržby z intervalu 1,0 až 2,5, pričom tento koeficient sa určuje na základe nasledujúcej tabuľky: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138"/>
        <w:gridCol w:w="3437"/>
      </w:tblGrid>
      <w:tr w:rsidR="00C80704" w:rsidRPr="00D62B6E" w:rsidTr="006E4D56">
        <w:tc>
          <w:tcPr>
            <w:tcW w:w="1276" w:type="dxa"/>
          </w:tcPr>
          <w:p w:rsidR="00C80704" w:rsidRPr="00D62B6E" w:rsidRDefault="00C80704" w:rsidP="00654212">
            <w:pPr>
              <w:pStyle w:val="texttabulkahlavicka"/>
            </w:pPr>
            <w:r w:rsidRPr="00D62B6E">
              <w:t>Kategória</w:t>
            </w:r>
          </w:p>
        </w:tc>
        <w:tc>
          <w:tcPr>
            <w:tcW w:w="5138" w:type="dxa"/>
          </w:tcPr>
          <w:p w:rsidR="00C80704" w:rsidRPr="00D62B6E" w:rsidRDefault="00C80704" w:rsidP="00654212">
            <w:pPr>
              <w:pStyle w:val="texttabulkahlavicka"/>
            </w:pPr>
            <w:r w:rsidRPr="00D62B6E">
              <w:t>C h a r a k t e r i s t i k a</w:t>
            </w:r>
          </w:p>
        </w:tc>
        <w:tc>
          <w:tcPr>
            <w:tcW w:w="3437" w:type="dxa"/>
          </w:tcPr>
          <w:p w:rsidR="00C80704" w:rsidRPr="00D62B6E" w:rsidRDefault="00C80704" w:rsidP="00654212">
            <w:pPr>
              <w:pStyle w:val="texttabulkahlavicka"/>
              <w:rPr>
                <w:vertAlign w:val="subscript"/>
              </w:rPr>
            </w:pPr>
            <w:r w:rsidRPr="00D62B6E">
              <w:t>Koeficient k</w:t>
            </w:r>
            <w:r w:rsidRPr="00D62B6E">
              <w:rPr>
                <w:vertAlign w:val="subscript"/>
              </w:rPr>
              <w:t>u</w:t>
            </w:r>
          </w:p>
        </w:tc>
      </w:tr>
      <w:tr w:rsidR="00C80704" w:rsidRPr="00D62B6E" w:rsidTr="006E4D56">
        <w:tc>
          <w:tcPr>
            <w:tcW w:w="1276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>A</w:t>
            </w:r>
          </w:p>
        </w:tc>
        <w:tc>
          <w:tcPr>
            <w:tcW w:w="5138" w:type="dxa"/>
          </w:tcPr>
          <w:p w:rsidR="00C80704" w:rsidRPr="009553C1" w:rsidRDefault="00C80704" w:rsidP="00654212">
            <w:pPr>
              <w:pStyle w:val="texttabulka"/>
              <w:rPr>
                <w:b w:val="0"/>
              </w:rPr>
            </w:pPr>
            <w:r w:rsidRPr="009553C1">
              <w:rPr>
                <w:b w:val="0"/>
              </w:rPr>
              <w:t>Blok po výstavbe (rekonštrukcii) do 10 rokov</w:t>
            </w:r>
          </w:p>
        </w:tc>
        <w:tc>
          <w:tcPr>
            <w:tcW w:w="3437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 xml:space="preserve">          1,0</w:t>
            </w:r>
          </w:p>
        </w:tc>
      </w:tr>
      <w:tr w:rsidR="00C80704" w:rsidRPr="00D62B6E" w:rsidTr="006E4D56">
        <w:tc>
          <w:tcPr>
            <w:tcW w:w="1276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>B</w:t>
            </w:r>
          </w:p>
        </w:tc>
        <w:tc>
          <w:tcPr>
            <w:tcW w:w="5138" w:type="dxa"/>
          </w:tcPr>
          <w:p w:rsidR="00C80704" w:rsidRPr="009553C1" w:rsidRDefault="00C80704" w:rsidP="00654212">
            <w:pPr>
              <w:pStyle w:val="texttabulka"/>
              <w:rPr>
                <w:b w:val="0"/>
              </w:rPr>
            </w:pPr>
            <w:r w:rsidRPr="009553C1">
              <w:rPr>
                <w:b w:val="0"/>
              </w:rPr>
              <w:t>Blok po výstavbe (rekonštrukcii) od 10 do 20 rokov</w:t>
            </w:r>
          </w:p>
        </w:tc>
        <w:tc>
          <w:tcPr>
            <w:tcW w:w="3437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 xml:space="preserve">          2,0</w:t>
            </w:r>
          </w:p>
        </w:tc>
      </w:tr>
      <w:tr w:rsidR="00C80704" w:rsidRPr="00D62B6E" w:rsidTr="006E4D56">
        <w:tc>
          <w:tcPr>
            <w:tcW w:w="1276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>C</w:t>
            </w:r>
          </w:p>
        </w:tc>
        <w:tc>
          <w:tcPr>
            <w:tcW w:w="5138" w:type="dxa"/>
          </w:tcPr>
          <w:p w:rsidR="00C80704" w:rsidRPr="009553C1" w:rsidRDefault="00C80704" w:rsidP="00654212">
            <w:pPr>
              <w:pStyle w:val="texttabulka"/>
              <w:rPr>
                <w:b w:val="0"/>
              </w:rPr>
            </w:pPr>
            <w:r w:rsidRPr="009553C1">
              <w:rPr>
                <w:b w:val="0"/>
              </w:rPr>
              <w:t>Blok po výstavbe (rekonštrukcii) nad 20 rokov</w:t>
            </w:r>
          </w:p>
        </w:tc>
        <w:tc>
          <w:tcPr>
            <w:tcW w:w="3437" w:type="dxa"/>
          </w:tcPr>
          <w:p w:rsidR="00C80704" w:rsidRPr="00D62B6E" w:rsidRDefault="00C80704" w:rsidP="00654212">
            <w:pPr>
              <w:pStyle w:val="texttabulka"/>
            </w:pPr>
            <w:r w:rsidRPr="00D62B6E">
              <w:t xml:space="preserve">          2,5</w:t>
            </w:r>
          </w:p>
        </w:tc>
      </w:tr>
    </w:tbl>
    <w:p w:rsidR="00C80704" w:rsidRPr="00D62B6E" w:rsidRDefault="00C80704" w:rsidP="00654212">
      <w:pPr>
        <w:pStyle w:val="Zoznam1"/>
      </w:pP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>V prípade blokov jedného študentského domova rôznej kvality sa určí výsledný koeficient váhovým spôsobom s uvážením na kapacity blokov.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>Príspevok na ubytovaného študenta</w:t>
      </w:r>
      <w:r w:rsidR="00571F34">
        <w:t xml:space="preserve"> </w:t>
      </w:r>
      <w:r w:rsidRPr="00D62B6E">
        <w:t xml:space="preserve">sa poskytuje </w:t>
      </w:r>
      <w:r w:rsidR="006E4D56">
        <w:t>univerzite</w:t>
      </w:r>
      <w:r w:rsidRPr="00D62B6E">
        <w:t xml:space="preserve"> vo výške 10 eur/ubytovaného študenta/mesiac počas jeho ubytovania (najviac 10 mesiacov). </w:t>
      </w:r>
      <w:r w:rsidR="006E4D56">
        <w:t xml:space="preserve">V prípade </w:t>
      </w:r>
      <w:r w:rsidRPr="00D62B6E">
        <w:t>uzatvoren</w:t>
      </w:r>
      <w:r w:rsidR="006E4D56">
        <w:t>ia</w:t>
      </w:r>
      <w:r w:rsidRPr="00D62B6E">
        <w:t xml:space="preserve"> zmluv</w:t>
      </w:r>
      <w:r w:rsidR="006E4D56">
        <w:t>y</w:t>
      </w:r>
      <w:r w:rsidRPr="00D62B6E">
        <w:t xml:space="preserve"> s ubytovacím zariadením, v ktorom sú ubytovaní študenti, musí </w:t>
      </w:r>
      <w:r w:rsidR="006E4D56">
        <w:t xml:space="preserve">univerzita </w:t>
      </w:r>
      <w:r w:rsidRPr="00D62B6E">
        <w:t>o príspevok požiadať ministerstvo a k žiadosti priložiť predmetnú zmluvu.</w:t>
      </w:r>
    </w:p>
    <w:p w:rsidR="00C80704" w:rsidRPr="00571F34" w:rsidRDefault="00C80704" w:rsidP="00C80704">
      <w:pPr>
        <w:pStyle w:val="Nadpis7"/>
        <w:rPr>
          <w:rFonts w:ascii="Times New Roman" w:hAnsi="Times New Roman"/>
          <w:b/>
          <w:i w:val="0"/>
          <w:color w:val="auto"/>
        </w:rPr>
      </w:pPr>
      <w:r w:rsidRPr="00D62B6E">
        <w:rPr>
          <w:rFonts w:ascii="Times New Roman" w:hAnsi="Times New Roman"/>
        </w:rPr>
        <w:lastRenderedPageBreak/>
        <w:t xml:space="preserve"> </w:t>
      </w:r>
      <w:r w:rsidRPr="00571F34">
        <w:rPr>
          <w:rFonts w:ascii="Times New Roman" w:hAnsi="Times New Roman"/>
          <w:b/>
          <w:color w:val="auto"/>
        </w:rPr>
        <w:t>Dotácia na športové aktivity, kultúrne aktivity a záujmovú činnosť študentov (prvok 077 15 03)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 xml:space="preserve">Dotácia na športové aktivity, kultúrne aktivity a záujmovú činnosť študentov, vrátane podpory činnosti vysokoškolských telovýchovných jednôt a vysokoškolských športových klubov a univerzitných pastoračných centier, </w:t>
      </w:r>
      <w:r w:rsidR="00571F34">
        <w:t xml:space="preserve">bola UJS poskytnutá </w:t>
      </w:r>
      <w:r w:rsidRPr="00D62B6E">
        <w:t xml:space="preserve"> nasledovne:</w:t>
      </w:r>
    </w:p>
    <w:p w:rsidR="00C80704" w:rsidRDefault="00C80704" w:rsidP="00C80704">
      <w:pPr>
        <w:pStyle w:val="odsek-pismeno"/>
        <w:numPr>
          <w:ilvl w:val="0"/>
          <w:numId w:val="25"/>
        </w:numPr>
      </w:pPr>
      <w:r w:rsidRPr="00D62B6E">
        <w:t>v</w:t>
      </w:r>
      <w:r w:rsidR="006E4D56">
        <w:t> </w:t>
      </w:r>
      <w:r w:rsidRPr="00D62B6E">
        <w:t>sume</w:t>
      </w:r>
      <w:r w:rsidR="006E4D56">
        <w:t xml:space="preserve"> </w:t>
      </w:r>
      <w:r w:rsidR="006E4D56" w:rsidRPr="006E4D56">
        <w:rPr>
          <w:b/>
        </w:rPr>
        <w:t>23 990,-</w:t>
      </w:r>
      <w:r w:rsidRPr="00D62B6E">
        <w:t xml:space="preserve"> € na činnosť vysokoškolských telovýchovných jednôt a vysokoškolských športových klubov podľa Kritérií na prerozdelenie príspevku ministerstva vysokoškolským telovýchovným jednotám a športovým klubom vysokých škôl Slovenskej asociácii univerzitného športu aj so zohľadnením účasti športovcov na svetových univerziádach a akademických majstrovstvách sveta;</w:t>
      </w:r>
    </w:p>
    <w:p w:rsidR="006E4D56" w:rsidRPr="00D62B6E" w:rsidRDefault="006E4D56" w:rsidP="00C80704">
      <w:pPr>
        <w:pStyle w:val="odsek-pismeno"/>
        <w:numPr>
          <w:ilvl w:val="0"/>
          <w:numId w:val="25"/>
        </w:numPr>
      </w:pPr>
      <w:r>
        <w:t xml:space="preserve">na kultúru a šport v sume </w:t>
      </w:r>
      <w:r w:rsidRPr="006E4D56">
        <w:rPr>
          <w:b/>
        </w:rPr>
        <w:t>8 835</w:t>
      </w:r>
      <w:r>
        <w:t>,- €.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 xml:space="preserve">O nevyčerpanú sumu finančných prostriedkov k 31.12.2023 na činnosť vysokoškolských telovýchovných jednôt, vysokoškolských športových klubov sa zníži suma finančných prostriedkov napočítaná na daný účel v rozpise dotácie na rok 2024.  </w:t>
      </w:r>
    </w:p>
    <w:p w:rsidR="00C80704" w:rsidRDefault="00FB1890" w:rsidP="00C80704">
      <w:pPr>
        <w:pStyle w:val="Nadpis3vavomal"/>
        <w:rPr>
          <w:i/>
          <w:iCs/>
          <w:lang w:val="sk-SK"/>
        </w:rPr>
      </w:pPr>
      <w:r>
        <w:rPr>
          <w:i/>
          <w:iCs/>
          <w:lang w:val="sk-SK"/>
        </w:rPr>
        <w:t>Z</w:t>
      </w:r>
      <w:r w:rsidR="00C80704" w:rsidRPr="00D62B6E">
        <w:rPr>
          <w:i/>
          <w:iCs/>
          <w:lang w:val="sk-SK"/>
        </w:rPr>
        <w:t>áverečné ustanovenie</w:t>
      </w:r>
    </w:p>
    <w:p w:rsidR="00FB1890" w:rsidRDefault="00FB1890" w:rsidP="00FB1890">
      <w:pPr>
        <w:pStyle w:val="Nadpis3vavomal"/>
        <w:jc w:val="both"/>
        <w:rPr>
          <w:i/>
          <w:iCs/>
          <w:lang w:val="sk-SK"/>
        </w:rPr>
      </w:pPr>
    </w:p>
    <w:p w:rsidR="00FB1890" w:rsidRPr="00FB1890" w:rsidRDefault="00FB1890" w:rsidP="00FB1890">
      <w:pPr>
        <w:pStyle w:val="Nadpis3vavomal"/>
        <w:jc w:val="both"/>
        <w:rPr>
          <w:b w:val="0"/>
          <w:i/>
          <w:iCs/>
          <w:lang w:val="sk-SK"/>
        </w:rPr>
      </w:pPr>
      <w:r w:rsidRPr="00103B78">
        <w:t xml:space="preserve">    </w:t>
      </w:r>
      <w:r w:rsidRPr="00103B78">
        <w:tab/>
      </w:r>
      <w:r w:rsidRPr="00FB1890">
        <w:rPr>
          <w:b w:val="0"/>
        </w:rPr>
        <w:t>Fakulty</w:t>
      </w:r>
      <w:r>
        <w:rPr>
          <w:b w:val="0"/>
        </w:rPr>
        <w:t xml:space="preserve"> a súčasti</w:t>
      </w:r>
      <w:r w:rsidRPr="00FB1890">
        <w:rPr>
          <w:b w:val="0"/>
          <w:bCs/>
          <w:noProof/>
        </w:rPr>
        <w:t xml:space="preserve"> UJS budú v roku 2023 hospodáriť s finančnými prostriedkami  na základe schváleného  rozdelenia dotácie, pridelenej podľa výkonov v  podprogramoch  077 11 a 077 12 a 077 15, so zostatkami dotácie z predchádzajúcich rokov a mimodotačnými prostriedkami, získanými z hlavnej ( nezdaňovanej) činnosti a z podnikateľskej činnosti</w:t>
      </w:r>
      <w:r>
        <w:rPr>
          <w:b w:val="0"/>
          <w:bCs/>
          <w:noProof/>
        </w:rPr>
        <w:t>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D62B6E">
        <w:t xml:space="preserve">V prípade zistenia, že vysokej škole bola na základe nesprávnych údajov určená vyššia dotácia ako jej prináleží, ministerstvo vykoná v príslušnej časti rozpisu korekciu. </w:t>
      </w:r>
    </w:p>
    <w:p w:rsidR="00C80704" w:rsidRDefault="00C80704" w:rsidP="00571F34">
      <w:pPr>
        <w:pStyle w:val="odsek"/>
        <w:numPr>
          <w:ilvl w:val="0"/>
          <w:numId w:val="0"/>
        </w:numPr>
      </w:pPr>
      <w:r w:rsidRPr="00D62B6E">
        <w:t>Ak dôjde v priebehu roka 2023 k úprave disponibilných zdrojov v rámci relevantných programov štátneho rozpočtu, resp. z dôvodu implementácie jednotlivých opatrení Plánu obnovy a odolnosti SR, ministerstvo operatívne zohľadní zmenu vykonaním úpravy objemu finančných prostriedkov rozdeľovaných podľa vybraného parametra a zohľadní tieto zmeny spôsobom uvedeným v metodike v rozpise pre jednotlivé vysoké školy, resp. v súlade s</w:t>
      </w:r>
      <w:r>
        <w:t>o systémom implementácie</w:t>
      </w:r>
      <w:r w:rsidRPr="00D62B6E">
        <w:t>  Plánu obnovy a odolnosti SR. V prípade, že navýšenie disponibilných zdrojov má vopred určený účel, alokácia finančných prostriedkov sa vykoná s ohľadom na predmetný účel. Na základe odôvodnenej žiadosti vysokej školy a v prípade disponibilných zdrojov môže ministerstvo formou navýšenia dotácie podporiť aktivity vysokej školy navýšením príslušnej časti dotácie.</w:t>
      </w:r>
    </w:p>
    <w:p w:rsidR="00C80704" w:rsidRPr="00D62B6E" w:rsidRDefault="00C80704" w:rsidP="00571F34">
      <w:pPr>
        <w:pStyle w:val="odsek"/>
        <w:numPr>
          <w:ilvl w:val="0"/>
          <w:numId w:val="0"/>
        </w:numPr>
      </w:pPr>
      <w:r w:rsidRPr="00441FBC">
        <w:t>V zmysle § 11 zákona č. 523/2004 Z. z. o rozpočtových pravidlách verejnej správy a o zmene a doplnení niektorých zákonov v prípade ak nie je vládny návrh zákona o štátnom rozpočte na nasledujúci rozpočtový rok schválený národnou radou do 31. decembra bežného rozpočtového roka, spravuje sa rozpočtové hospodárenie v dobe od 1. januára rozpočtového roka do nadobudnutia účinnosti zákona o štátnom rozpočte na príslušný rozpočtový rok rozpočtovým provizóriom.</w:t>
      </w:r>
    </w:p>
    <w:p w:rsidR="00CB519A" w:rsidRPr="00103B78" w:rsidRDefault="00CB519A" w:rsidP="00BB38C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03B7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 schválení Akademickým senátom VŠ a Správnou radou VŠ je Rozpočet </w:t>
      </w:r>
      <w:r w:rsidR="009553C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UJS </w:t>
      </w:r>
      <w:r w:rsidRPr="00103B78">
        <w:rPr>
          <w:rFonts w:ascii="Times New Roman" w:eastAsia="Times New Roman" w:hAnsi="Times New Roman" w:cs="Times New Roman"/>
          <w:bCs/>
          <w:noProof/>
          <w:sz w:val="24"/>
          <w:szCs w:val="24"/>
        </w:rPr>
        <w:t>na rok 202</w:t>
      </w:r>
      <w:r w:rsidR="00975272" w:rsidRPr="00103B78">
        <w:rPr>
          <w:rFonts w:ascii="Times New Roman" w:eastAsia="Times New Roman" w:hAnsi="Times New Roman" w:cs="Times New Roman"/>
          <w:bCs/>
          <w:noProof/>
          <w:sz w:val="24"/>
          <w:szCs w:val="24"/>
        </w:rPr>
        <w:t>3</w:t>
      </w:r>
      <w:r w:rsidRPr="00103B7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pre všetky súčasti záväzný. </w:t>
      </w:r>
    </w:p>
    <w:p w:rsidR="00FB1890" w:rsidRDefault="00FB1890" w:rsidP="0032461E">
      <w:pPr>
        <w:rPr>
          <w:rFonts w:ascii="Times New Roman" w:hAnsi="Times New Roman" w:cs="Times New Roman"/>
          <w:sz w:val="24"/>
          <w:szCs w:val="24"/>
        </w:rPr>
      </w:pPr>
    </w:p>
    <w:p w:rsidR="00CB519A" w:rsidRPr="00103B78" w:rsidRDefault="00F669D4" w:rsidP="00324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Komárno, 5.4.2023      </w:t>
      </w:r>
      <w:r w:rsidR="00CB519A" w:rsidRPr="00103B78">
        <w:rPr>
          <w:rFonts w:ascii="Times New Roman" w:hAnsi="Times New Roman" w:cs="Times New Roman"/>
          <w:sz w:val="24"/>
          <w:szCs w:val="24"/>
        </w:rPr>
        <w:tab/>
      </w:r>
      <w:r w:rsidR="00CB519A" w:rsidRPr="00103B78">
        <w:rPr>
          <w:rFonts w:ascii="Times New Roman" w:hAnsi="Times New Roman" w:cs="Times New Roman"/>
          <w:sz w:val="24"/>
          <w:szCs w:val="24"/>
        </w:rPr>
        <w:tab/>
      </w:r>
      <w:r w:rsidR="00CB519A" w:rsidRPr="00103B78">
        <w:rPr>
          <w:rFonts w:ascii="Times New Roman" w:hAnsi="Times New Roman" w:cs="Times New Roman"/>
          <w:sz w:val="24"/>
          <w:szCs w:val="24"/>
        </w:rPr>
        <w:tab/>
      </w:r>
      <w:r w:rsidR="00CB519A" w:rsidRPr="00103B78">
        <w:rPr>
          <w:rFonts w:ascii="Times New Roman" w:hAnsi="Times New Roman" w:cs="Times New Roman"/>
          <w:sz w:val="24"/>
          <w:szCs w:val="24"/>
        </w:rPr>
        <w:tab/>
      </w:r>
      <w:r w:rsidR="00CB519A" w:rsidRPr="00103B78">
        <w:rPr>
          <w:rFonts w:ascii="Times New Roman" w:hAnsi="Times New Roman" w:cs="Times New Roman"/>
          <w:b/>
          <w:sz w:val="24"/>
          <w:szCs w:val="24"/>
        </w:rPr>
        <w:t>Dr.habil. PaedDr. György Juhász, PhD.,</w:t>
      </w:r>
    </w:p>
    <w:p w:rsidR="00CB519A" w:rsidRDefault="00CB519A" w:rsidP="0032461E">
      <w:pPr>
        <w:rPr>
          <w:rFonts w:ascii="Times New Roman" w:hAnsi="Times New Roman" w:cs="Times New Roman"/>
          <w:b/>
          <w:sz w:val="24"/>
          <w:szCs w:val="24"/>
        </w:rPr>
      </w:pP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</w:r>
      <w:r w:rsidRPr="00103B78">
        <w:rPr>
          <w:rFonts w:ascii="Times New Roman" w:hAnsi="Times New Roman" w:cs="Times New Roman"/>
          <w:b/>
          <w:sz w:val="24"/>
          <w:szCs w:val="24"/>
        </w:rPr>
        <w:tab/>
        <w:t xml:space="preserve">        rektor UJS</w:t>
      </w:r>
    </w:p>
    <w:p w:rsidR="00E96486" w:rsidRDefault="00E96486" w:rsidP="0032461E">
      <w:pPr>
        <w:rPr>
          <w:rFonts w:ascii="Times New Roman" w:hAnsi="Times New Roman" w:cs="Times New Roman"/>
          <w:b/>
          <w:sz w:val="24"/>
          <w:szCs w:val="24"/>
        </w:rPr>
      </w:pPr>
    </w:p>
    <w:p w:rsidR="00E96486" w:rsidRPr="00E96486" w:rsidRDefault="00EA4737" w:rsidP="00E96486">
      <w:pPr>
        <w:pStyle w:val="Nadpis5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Príloha č. 1</w:t>
      </w:r>
      <w:r w:rsidR="00E96486" w:rsidRPr="00E96486">
        <w:rPr>
          <w:rFonts w:ascii="Times New Roman" w:hAnsi="Times New Roman"/>
          <w:b/>
          <w:color w:val="auto"/>
        </w:rPr>
        <w:t xml:space="preserve"> – Definícia skupín publikácií pre potreby rozpisu dotácií </w:t>
      </w:r>
    </w:p>
    <w:p w:rsidR="00E96486" w:rsidRPr="00D62B6E" w:rsidRDefault="00E96486" w:rsidP="00E96486">
      <w:pPr>
        <w:pStyle w:val="tl12ptZa6pt"/>
      </w:pPr>
      <w:r w:rsidRPr="00D62B6E">
        <w:rPr>
          <w:sz w:val="22"/>
        </w:rPr>
        <w:t>P</w:t>
      </w:r>
      <w:r w:rsidRPr="00D62B6E">
        <w:t>ri definícii skupín publikácií pre potreby rozpisu dotácií sa využíva klasifikácia publikačnej činnosti upravená vyhláškou Ministerstva školstva, vedy, výskumu a športu SR č. 456/2012 Z. z. o centrálnom registri evidencie publikačnej činnosti a centrálnom registri evidencie umeleckej činnosti (ďalej len „vyhláška“). Z praktických dôvodov sa publikácie rozčleňujú podľa ich kategórií zavedených vyhláškou do skupín A1, A2, B a D.  V rámci dotácie na výskumnú, vývojovú alebo umeleckú činnosť sa zohľadňujú len publikačné výstupy zo skupín A1, B a zo skupiny D len publikácie v nasledujúcich kategóriách: ADE, ADF, AEC, AED, AEG, AEH, AFA, AFB, AFC, AFD, AFE, AFF, AFG, AFH, AEM a AEN. Kategória AGJ sa zohľadňuje samostatne..</w:t>
      </w:r>
    </w:p>
    <w:p w:rsidR="00E96486" w:rsidRPr="00D62B6E" w:rsidRDefault="00E96486" w:rsidP="00E96486">
      <w:pPr>
        <w:pStyle w:val="tl12ptZa6pt"/>
      </w:pPr>
      <w:r w:rsidRPr="00D62B6E">
        <w:t>D1 – váhy pre dotáciu na uskutočňovanie akreditovaných študijných programov</w:t>
      </w:r>
    </w:p>
    <w:p w:rsidR="00E96486" w:rsidRPr="00D62B6E" w:rsidRDefault="00E96486" w:rsidP="00E96486">
      <w:pPr>
        <w:pStyle w:val="tl12ptZa6pt"/>
      </w:pPr>
      <w:r w:rsidRPr="00D62B6E">
        <w:t>D2 – váhy pre dotáciu na výskumnú, vývojovú  alebo umeleckú činnosť</w:t>
      </w: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317"/>
        <w:gridCol w:w="718"/>
        <w:gridCol w:w="668"/>
      </w:tblGrid>
      <w:tr w:rsidR="00E96486" w:rsidRPr="00D62B6E" w:rsidTr="00E96486">
        <w:trPr>
          <w:trHeight w:val="227"/>
          <w:tblHeader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E96486" w:rsidRPr="00D62B6E" w:rsidRDefault="00E96486" w:rsidP="00E96486">
            <w:pPr>
              <w:spacing w:after="0"/>
              <w:rPr>
                <w:b/>
              </w:rPr>
            </w:pPr>
            <w:r w:rsidRPr="00D62B6E">
              <w:rPr>
                <w:b/>
              </w:rPr>
              <w:t> Skupiny a kategórie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96486" w:rsidRPr="00D62B6E" w:rsidRDefault="00E96486" w:rsidP="00E96486">
            <w:pPr>
              <w:spacing w:after="0"/>
              <w:jc w:val="center"/>
              <w:rPr>
                <w:b/>
              </w:rPr>
            </w:pPr>
            <w:r w:rsidRPr="00D62B6E">
              <w:rPr>
                <w:b/>
              </w:rPr>
              <w:t>D1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E96486" w:rsidRPr="00D62B6E" w:rsidRDefault="00E96486" w:rsidP="00E96486">
            <w:pPr>
              <w:spacing w:after="0"/>
              <w:jc w:val="center"/>
              <w:rPr>
                <w:b/>
              </w:rPr>
            </w:pPr>
            <w:r w:rsidRPr="00D62B6E">
              <w:rPr>
                <w:b/>
              </w:rPr>
              <w:t>D2</w:t>
            </w:r>
          </w:p>
        </w:tc>
      </w:tr>
      <w:tr w:rsidR="00E96486" w:rsidRPr="00D62B6E" w:rsidTr="00E96486">
        <w:trPr>
          <w:trHeight w:val="22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rPr>
                <w:b/>
                <w:i/>
              </w:rPr>
            </w:pPr>
            <w:r w:rsidRPr="00D62B6E">
              <w:rPr>
                <w:b/>
                <w:i/>
              </w:rPr>
              <w:t>Skupina A1 – Knižné publikácie charakteru vedeckej monografie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vedecké monografie (AAA, AAB)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štúdie charakteru vedeckej monografie v časopisoch a zborníkoch (ABA, ABB)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kapitoly vo vedeckých monografiách (ABC, ABD)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0,10</w:t>
            </w:r>
          </w:p>
        </w:tc>
      </w:tr>
      <w:tr w:rsidR="00E96486" w:rsidRPr="00D62B6E" w:rsidTr="00E96486">
        <w:trPr>
          <w:trHeight w:val="22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rPr>
                <w:b/>
                <w:i/>
              </w:rPr>
            </w:pPr>
            <w:r w:rsidRPr="00D62B6E">
              <w:rPr>
                <w:b/>
                <w:i/>
              </w:rPr>
              <w:t>Skupina A2 – Ostatné knižné publikácie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vysokoškolské učebnice (ACA, ACB)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odborné knižné publikácie (BAA, BAB)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učebnice pre stredné a základné školy (BCB)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skriptá a učebné texty (BCI)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umelecké monografie, dramatické diela, scenáre, umelecké preklady publikácií a autorské katalógy (CAA, CAB)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prehľadové práce (EAI)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odborné preklady publikácií (EAJ)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8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zostavovateľské práce knižného charakteru (bibliografie, encyklopédie, katalógy, slovníky, zborníky, atlasy, a pod.) (FAI)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96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rPr>
                <w:b/>
                <w:i/>
              </w:rPr>
              <w:t>Skupina B – Publikácie v karentovaných časopisoch alebo registrované vo WoS a Scopus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vedecké práce v karentovaných časopisoch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ADC, ADD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odborné práce v karentovaných časopisoch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BDC,BDD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umelecké práce a preklady v karentovaných časopisoch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CDC,CDD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vedecké práce v časopisoch registrovaných v databázach Web of Science alebo SCOPUS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ADM, ADN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odborné práce v časopisoch registrovaných v databázach Web of Science alebo SCOPUS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BDM, BDN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rPr>
                <w:b/>
                <w:i/>
              </w:rPr>
            </w:pPr>
            <w:r w:rsidRPr="00D62B6E">
              <w:rPr>
                <w:b/>
                <w:i/>
              </w:rPr>
              <w:t>Skupina D – Ostatné publikácie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kapitoly vo vysokoškolských učebniciach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rPr>
                <w:lang w:eastAsia="sk-SK"/>
              </w:rPr>
            </w:pPr>
            <w:r w:rsidRPr="00D62B6E">
              <w:rPr>
                <w:lang w:eastAsia="sk-SK"/>
              </w:rPr>
              <w:t>ACC</w:t>
            </w:r>
          </w:p>
          <w:p w:rsidR="00E96486" w:rsidRPr="00D62B6E" w:rsidRDefault="00E96486" w:rsidP="00E96486">
            <w:pPr>
              <w:spacing w:after="0"/>
              <w:rPr>
                <w:lang w:eastAsia="sk-SK"/>
              </w:rPr>
            </w:pPr>
            <w:r w:rsidRPr="00D62B6E">
              <w:rPr>
                <w:lang w:eastAsia="sk-SK"/>
              </w:rPr>
              <w:t>ACD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vedecké práce v ostatných časopisoch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ADE,ADF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vedecké práce v recenzovaných zborníkoch a monografiách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AEC</w:t>
            </w:r>
          </w:p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AED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abstrakty vedeckých prác v karentovaných časopisoch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AEG,AEH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publikované pozvané príspevky na vedeckých konferenciách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AFA</w:t>
            </w:r>
          </w:p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AFB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publikované príspevky na vedeckých konferenciách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AFC</w:t>
            </w:r>
          </w:p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AFD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abstrakty (pozvaných) príspevkov z vedeckých konferencií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AFE,AFF, AFG,AFH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lastRenderedPageBreak/>
              <w:t>abstrakty vedeckých prác v časopisoch registrovaných v databázach Web of Science alebo SCOPUS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AEM,AEN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kapitoly v odborných knižných publikáciách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BBA,BBB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kapitoly v učebniciach a učebných textoch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BCK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heslá v odborných terminologických slovníkoch a encyklopédiách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BDA,BDB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odborné práce v ostatných časopisoch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BDE,BDF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486" w:rsidRPr="00D62B6E" w:rsidRDefault="00E96486" w:rsidP="00E96486"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footnoteReference w:customMarkFollows="1" w:id="4"/>
              <w:t>odborné práce v zborníkoch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486" w:rsidRPr="00D62B6E" w:rsidRDefault="00E96486" w:rsidP="00E96486">
            <w:pPr>
              <w:spacing w:after="0"/>
            </w:pPr>
            <w:r w:rsidRPr="00D62B6E">
              <w:t>BEE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BEF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4,00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abstrakty odborných prác z domácich a zahraničných podujatí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BFA,BFB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 xml:space="preserve">kapitoly v umeleckých monografiách, kapitoly umeleckých prekladov publikácií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CBA,CBB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umelecké práce a preklady v nekarentovaných časopisoch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CDE,CDF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486" w:rsidRPr="00D62B6E" w:rsidRDefault="00E96486" w:rsidP="00E96486">
            <w:pPr>
              <w:spacing w:after="0"/>
            </w:pPr>
            <w:r w:rsidRPr="00D62B6E">
              <w:t>0,00</w:t>
            </w:r>
          </w:p>
        </w:tc>
      </w:tr>
      <w:tr w:rsidR="00E96486" w:rsidRPr="00D62B6E" w:rsidTr="00E96486">
        <w:trPr>
          <w:trHeight w:val="22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86" w:rsidRPr="00D62B6E" w:rsidRDefault="00E96486" w:rsidP="00E96486">
            <w:pPr>
              <w:spacing w:after="0"/>
            </w:pPr>
            <w:r w:rsidRPr="00D62B6E">
              <w:rPr>
                <w:b/>
                <w:i/>
              </w:rPr>
              <w:t>Skupina – Patenty</w:t>
            </w:r>
          </w:p>
        </w:tc>
      </w:tr>
      <w:tr w:rsidR="00E96486" w:rsidRPr="00D62B6E" w:rsidTr="00E96486">
        <w:trPr>
          <w:trHeight w:val="22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patentové prihlášky, prihlášky úžitkových vzorov, prihlášky dizajnov, prihlášky ochranných známok, ...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86" w:rsidRPr="00D62B6E" w:rsidRDefault="00E96486" w:rsidP="00E96486">
            <w:pPr>
              <w:spacing w:after="0"/>
              <w:jc w:val="both"/>
              <w:rPr>
                <w:lang w:eastAsia="sk-SK"/>
              </w:rPr>
            </w:pPr>
            <w:r w:rsidRPr="00D62B6E">
              <w:rPr>
                <w:lang w:eastAsia="sk-SK"/>
              </w:rPr>
              <w:t>AGJ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86" w:rsidRPr="00D62B6E" w:rsidRDefault="00E96486" w:rsidP="00E96486">
            <w:pPr>
              <w:spacing w:after="0"/>
            </w:pPr>
            <w:r w:rsidRPr="00D62B6E">
              <w:t>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86" w:rsidRPr="00D62B6E" w:rsidRDefault="00E96486" w:rsidP="00E96486">
            <w:pPr>
              <w:spacing w:after="0"/>
            </w:pPr>
            <w:r w:rsidRPr="00D62B6E">
              <w:t xml:space="preserve">1,00 </w:t>
            </w:r>
          </w:p>
        </w:tc>
      </w:tr>
    </w:tbl>
    <w:p w:rsidR="00E96486" w:rsidRPr="00E96486" w:rsidRDefault="00E96486" w:rsidP="00E96486">
      <w:pPr>
        <w:pStyle w:val="Nadpis5"/>
        <w:rPr>
          <w:rFonts w:ascii="Times New Roman" w:hAnsi="Times New Roman"/>
          <w:color w:val="auto"/>
          <w:sz w:val="24"/>
          <w:szCs w:val="24"/>
        </w:rPr>
      </w:pPr>
      <w:r w:rsidRPr="00E96486">
        <w:rPr>
          <w:rFonts w:ascii="Times New Roman" w:hAnsi="Times New Roman"/>
          <w:color w:val="auto"/>
          <w:sz w:val="24"/>
          <w:szCs w:val="24"/>
        </w:rPr>
        <w:t>V rámci skupín A1, A2 a D sa váha násobí číslom 10, ak je záznam evidovaný vo WoS. V rámci skupiny B sa okrem váhy zohľadňuje aj kvartil, v ktorom je predmetný časopis podľa JCR.</w:t>
      </w:r>
    </w:p>
    <w:p w:rsidR="00E96486" w:rsidRDefault="00E96486" w:rsidP="00E96486">
      <w:pPr>
        <w:pStyle w:val="Nadpis5"/>
        <w:rPr>
          <w:rFonts w:ascii="Times New Roman" w:hAnsi="Times New Roman"/>
        </w:rPr>
      </w:pPr>
    </w:p>
    <w:p w:rsidR="00E96486" w:rsidRPr="00E96486" w:rsidRDefault="00EA4737" w:rsidP="00E96486">
      <w:pPr>
        <w:pStyle w:val="Nadpis5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Príloha č. 2</w:t>
      </w:r>
      <w:r w:rsidR="00E96486" w:rsidRPr="00E96486">
        <w:rPr>
          <w:rFonts w:ascii="Times New Roman" w:hAnsi="Times New Roman"/>
          <w:b/>
          <w:color w:val="auto"/>
        </w:rPr>
        <w:t xml:space="preserve"> – Skupiny a jednotkové dotácie pre špecifické potreby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28"/>
        <w:gridCol w:w="6662"/>
        <w:gridCol w:w="2049"/>
      </w:tblGrid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Skupina</w:t>
            </w:r>
          </w:p>
        </w:tc>
        <w:tc>
          <w:tcPr>
            <w:tcW w:w="6662" w:type="dxa"/>
          </w:tcPr>
          <w:p w:rsidR="00E96486" w:rsidRPr="00D62B6E" w:rsidRDefault="00E96486" w:rsidP="00654212">
            <w:pPr>
              <w:pStyle w:val="Zoznam1"/>
            </w:pPr>
            <w:r w:rsidRPr="00D62B6E">
              <w:t>Kód a vymedzenie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Suma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A1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1 – nevidiaci študent</w:t>
            </w:r>
          </w:p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2 – slabozraký študent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2500 €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B2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3 – nepočujúci študent</w:t>
            </w:r>
          </w:p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4 – nedoslýchavý študent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5400 €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C1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5 – študent s telesným postihnutím dolných končatín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1800 €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C2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6 – študent s telesným postihnutím horných končatín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4000 €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D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10 – študent s autizmom alebo ďalšími pervazívnymi vývinovými poruchami</w:t>
            </w:r>
          </w:p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11 – študent s poruchami učenia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700 €</w:t>
            </w:r>
          </w:p>
        </w:tc>
      </w:tr>
      <w:tr w:rsidR="00E96486" w:rsidRPr="00D62B6E" w:rsidTr="00D4256A">
        <w:tc>
          <w:tcPr>
            <w:tcW w:w="928" w:type="dxa"/>
          </w:tcPr>
          <w:p w:rsidR="00E96486" w:rsidRPr="00D62B6E" w:rsidRDefault="00E96486" w:rsidP="00654212">
            <w:pPr>
              <w:pStyle w:val="Zoznam1"/>
            </w:pPr>
            <w:r w:rsidRPr="00D62B6E">
              <w:t>E</w:t>
            </w:r>
          </w:p>
        </w:tc>
        <w:tc>
          <w:tcPr>
            <w:tcW w:w="6662" w:type="dxa"/>
          </w:tcPr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7 – študent s chronickým ochorením</w:t>
            </w:r>
          </w:p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>8 – študent so zdravotným oslabením</w:t>
            </w:r>
          </w:p>
          <w:p w:rsidR="00E96486" w:rsidRPr="00D4256A" w:rsidRDefault="00E96486" w:rsidP="00654212">
            <w:pPr>
              <w:pStyle w:val="Zoznam1"/>
              <w:rPr>
                <w:b w:val="0"/>
              </w:rPr>
            </w:pPr>
            <w:r w:rsidRPr="00D4256A">
              <w:rPr>
                <w:b w:val="0"/>
              </w:rPr>
              <w:t xml:space="preserve">9 – študent so psychickým ochorením </w:t>
            </w:r>
          </w:p>
        </w:tc>
        <w:tc>
          <w:tcPr>
            <w:tcW w:w="2049" w:type="dxa"/>
          </w:tcPr>
          <w:p w:rsidR="00E96486" w:rsidRPr="00D62B6E" w:rsidRDefault="00E96486" w:rsidP="00654212">
            <w:pPr>
              <w:pStyle w:val="Zoznam1"/>
            </w:pPr>
            <w:r w:rsidRPr="00D62B6E">
              <w:t>325 €</w:t>
            </w:r>
          </w:p>
        </w:tc>
      </w:tr>
    </w:tbl>
    <w:p w:rsidR="00E96486" w:rsidRPr="00D62B6E" w:rsidRDefault="00E96486" w:rsidP="00E96486">
      <w:pPr>
        <w:pStyle w:val="Nadpis5"/>
        <w:rPr>
          <w:rFonts w:ascii="Times New Roman" w:hAnsi="Times New Roman"/>
        </w:rPr>
      </w:pPr>
    </w:p>
    <w:p w:rsidR="00E96486" w:rsidRPr="00D62B6E" w:rsidRDefault="00E96486" w:rsidP="00E96486">
      <w:pPr>
        <w:rPr>
          <w:sz w:val="26"/>
          <w:szCs w:val="20"/>
        </w:rPr>
      </w:pPr>
      <w:r w:rsidRPr="00D62B6E">
        <w:br w:type="page"/>
      </w:r>
    </w:p>
    <w:p w:rsidR="00E96486" w:rsidRPr="000A7287" w:rsidRDefault="00EA4737" w:rsidP="00E96486">
      <w:pPr>
        <w:pStyle w:val="Nadpis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lastRenderedPageBreak/>
        <w:t>Príloha č. 3</w:t>
      </w:r>
      <w:r w:rsidR="00E96486" w:rsidRPr="000A7287">
        <w:rPr>
          <w:rFonts w:ascii="Times New Roman" w:hAnsi="Times New Roman"/>
          <w:b/>
          <w:color w:val="auto"/>
          <w:sz w:val="24"/>
        </w:rPr>
        <w:t xml:space="preserve"> – Vymedzenie množín oblastí výskumu a váh jednotlivých skupín publikačných výstupov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0A7287" w:rsidRPr="000A7287" w:rsidTr="00D4256A">
        <w:tc>
          <w:tcPr>
            <w:tcW w:w="1101" w:type="dxa"/>
          </w:tcPr>
          <w:p w:rsidR="00E96486" w:rsidRPr="000A7287" w:rsidRDefault="00E96486" w:rsidP="00E96486">
            <w:pPr>
              <w:rPr>
                <w:b/>
                <w:sz w:val="22"/>
              </w:rPr>
            </w:pPr>
            <w:r w:rsidRPr="000A7287">
              <w:rPr>
                <w:b/>
                <w:sz w:val="22"/>
              </w:rPr>
              <w:t>Množina</w:t>
            </w:r>
          </w:p>
        </w:tc>
        <w:tc>
          <w:tcPr>
            <w:tcW w:w="8363" w:type="dxa"/>
          </w:tcPr>
          <w:p w:rsidR="00E96486" w:rsidRPr="000A7287" w:rsidRDefault="00E96486" w:rsidP="00E96486">
            <w:pPr>
              <w:rPr>
                <w:b/>
                <w:sz w:val="22"/>
              </w:rPr>
            </w:pPr>
            <w:r w:rsidRPr="000A7287">
              <w:rPr>
                <w:b/>
                <w:sz w:val="22"/>
              </w:rPr>
              <w:t>Oblasť výskumu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M1</w:t>
            </w:r>
          </w:p>
        </w:tc>
        <w:tc>
          <w:tcPr>
            <w:tcW w:w="8363" w:type="dxa"/>
          </w:tcPr>
          <w:p w:rsidR="00E96486" w:rsidRPr="00D62B6E" w:rsidRDefault="00E96486" w:rsidP="00E96486">
            <w:pPr>
              <w:spacing w:after="0"/>
            </w:pPr>
            <w:r w:rsidRPr="00D62B6E">
              <w:t>Fyzika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vedy o Zemi a vesmíre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chémia, chemická technológia a biotechnológie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vedy o živej prírode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matematika a štatistika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M2</w:t>
            </w:r>
          </w:p>
        </w:tc>
        <w:tc>
          <w:tcPr>
            <w:tcW w:w="8363" w:type="dxa"/>
          </w:tcPr>
          <w:p w:rsidR="00E96486" w:rsidRPr="00D62B6E" w:rsidRDefault="00E96486" w:rsidP="00E96486">
            <w:pPr>
              <w:spacing w:after="0"/>
            </w:pPr>
            <w:r w:rsidRPr="00D62B6E">
              <w:t>projektovanie, inžinierstvo, technológie a vodné hospodárstvo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environmentalistika a ekológia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metalurgické a montánne vedy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strojárstvo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elektrotechnika a elektroenergetika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informatické vedy, automatizácia a telekomunikácie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inžinierstvo a technológie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M3</w:t>
            </w:r>
          </w:p>
        </w:tc>
        <w:tc>
          <w:tcPr>
            <w:tcW w:w="8363" w:type="dxa"/>
          </w:tcPr>
          <w:p w:rsidR="00E96486" w:rsidRPr="00D62B6E" w:rsidRDefault="00E96486" w:rsidP="00E96486">
            <w:r w:rsidRPr="00D62B6E">
              <w:t>lekárske, farmaceutické a nelekárske zdravotnícke vedy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M4</w:t>
            </w:r>
          </w:p>
        </w:tc>
        <w:tc>
          <w:tcPr>
            <w:tcW w:w="8363" w:type="dxa"/>
          </w:tcPr>
          <w:p w:rsidR="00E96486" w:rsidRPr="00D62B6E" w:rsidRDefault="00E96486" w:rsidP="00E96486">
            <w:pPr>
              <w:spacing w:after="0"/>
            </w:pPr>
            <w:r w:rsidRPr="00D62B6E">
              <w:t>poľnohospodárske a lesnícke vedy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veterinárske vedy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M5</w:t>
            </w:r>
          </w:p>
        </w:tc>
        <w:tc>
          <w:tcPr>
            <w:tcW w:w="8363" w:type="dxa"/>
          </w:tcPr>
          <w:p w:rsidR="00E96486" w:rsidRPr="00D62B6E" w:rsidRDefault="00E96486" w:rsidP="00E96486">
            <w:pPr>
              <w:spacing w:after="0"/>
            </w:pPr>
            <w:r w:rsidRPr="00D62B6E">
              <w:t>pedagogické vedy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spoločenské a behaviorálne vedy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právo a medzinárodné vzťahy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ekonómia a manažment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vedy o športe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dopravné služby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bezpečnostné služby</w:t>
            </w:r>
          </w:p>
        </w:tc>
      </w:tr>
      <w:tr w:rsidR="00E96486" w:rsidRPr="00D62B6E" w:rsidTr="00D4256A">
        <w:tc>
          <w:tcPr>
            <w:tcW w:w="1101" w:type="dxa"/>
          </w:tcPr>
          <w:p w:rsidR="00E96486" w:rsidRPr="00D62B6E" w:rsidRDefault="00E96486" w:rsidP="00E96486">
            <w:pPr>
              <w:spacing w:after="0"/>
            </w:pPr>
            <w:r w:rsidRPr="00D62B6E">
              <w:t>M6</w:t>
            </w:r>
          </w:p>
        </w:tc>
        <w:tc>
          <w:tcPr>
            <w:tcW w:w="8363" w:type="dxa"/>
          </w:tcPr>
          <w:p w:rsidR="00E96486" w:rsidRPr="00D62B6E" w:rsidRDefault="00E96486" w:rsidP="00E96486">
            <w:pPr>
              <w:spacing w:after="0"/>
            </w:pPr>
            <w:r w:rsidRPr="00D62B6E">
              <w:t>humanitné vedy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historické vedy a etnológia</w:t>
            </w:r>
          </w:p>
          <w:p w:rsidR="00E96486" w:rsidRPr="00D62B6E" w:rsidRDefault="00E96486" w:rsidP="00E96486">
            <w:pPr>
              <w:spacing w:after="0"/>
            </w:pPr>
            <w:r w:rsidRPr="00D62B6E">
              <w:t>umenie</w:t>
            </w:r>
          </w:p>
        </w:tc>
      </w:tr>
    </w:tbl>
    <w:p w:rsidR="00E96486" w:rsidRPr="00D62B6E" w:rsidRDefault="00E96486" w:rsidP="00E96486"/>
    <w:p w:rsidR="00E96486" w:rsidRPr="00D62B6E" w:rsidRDefault="00E96486" w:rsidP="00E96486"/>
    <w:tbl>
      <w:tblPr>
        <w:tblStyle w:val="Svetlpodfarbeniezvraznenie1"/>
        <w:tblW w:w="0" w:type="auto"/>
        <w:tblLook w:val="04A0" w:firstRow="1" w:lastRow="0" w:firstColumn="1" w:lastColumn="0" w:noHBand="0" w:noVBand="1"/>
      </w:tblPr>
      <w:tblGrid>
        <w:gridCol w:w="563"/>
        <w:gridCol w:w="3387"/>
        <w:gridCol w:w="1977"/>
        <w:gridCol w:w="1940"/>
        <w:gridCol w:w="1945"/>
      </w:tblGrid>
      <w:tr w:rsidR="000A7287" w:rsidRPr="000A7287" w:rsidTr="000A7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Podiel na dotácii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A1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B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D</w:t>
            </w:r>
          </w:p>
        </w:tc>
      </w:tr>
      <w:tr w:rsidR="000A7287" w:rsidRPr="000A7287" w:rsidTr="000A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M1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31,08 %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98,00 %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1,00 %</w:t>
            </w:r>
          </w:p>
        </w:tc>
      </w:tr>
      <w:tr w:rsidR="000A7287" w:rsidRPr="000A7287" w:rsidTr="000A7287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M2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27,06 %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3,00 %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86,00 %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11,00 %</w:t>
            </w:r>
          </w:p>
        </w:tc>
      </w:tr>
      <w:tr w:rsidR="000A7287" w:rsidRPr="000A7287" w:rsidTr="000A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M3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13,90 %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3,00 %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96,00 %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1,00 %</w:t>
            </w:r>
          </w:p>
        </w:tc>
      </w:tr>
      <w:tr w:rsidR="000A7287" w:rsidRPr="000A7287" w:rsidTr="000A728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M4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6,02 %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4,00 %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91,00 %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5,00 %</w:t>
            </w:r>
          </w:p>
        </w:tc>
      </w:tr>
      <w:tr w:rsidR="000A7287" w:rsidRPr="000A7287" w:rsidTr="000A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M5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14,67 %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20,00 %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70,00 %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10,00 %</w:t>
            </w:r>
          </w:p>
        </w:tc>
      </w:tr>
      <w:tr w:rsidR="000A7287" w:rsidRPr="000A7287" w:rsidTr="000A728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M6</w:t>
            </w:r>
          </w:p>
        </w:tc>
        <w:tc>
          <w:tcPr>
            <w:tcW w:w="338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7,27 %</w:t>
            </w:r>
          </w:p>
        </w:tc>
        <w:tc>
          <w:tcPr>
            <w:tcW w:w="1977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35,00 %</w:t>
            </w:r>
          </w:p>
        </w:tc>
        <w:tc>
          <w:tcPr>
            <w:tcW w:w="1940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55,00 %</w:t>
            </w:r>
          </w:p>
        </w:tc>
        <w:tc>
          <w:tcPr>
            <w:tcW w:w="1945" w:type="dxa"/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10,00 %</w:t>
            </w:r>
          </w:p>
        </w:tc>
      </w:tr>
      <w:tr w:rsidR="000A7287" w:rsidRPr="000A7287" w:rsidTr="000A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bottom w:val="single" w:sz="8" w:space="0" w:color="5B9BD5" w:themeColor="accent1"/>
            </w:tcBorders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87" w:type="dxa"/>
            <w:tcBorders>
              <w:bottom w:val="single" w:sz="8" w:space="0" w:color="5B9BD5" w:themeColor="accent1"/>
            </w:tcBorders>
          </w:tcPr>
          <w:p w:rsidR="00E96486" w:rsidRPr="006E4D56" w:rsidRDefault="00E96486" w:rsidP="00E96486">
            <w:pPr>
              <w:pStyle w:val="Nadpis5"/>
              <w:spacing w:before="0"/>
              <w:jc w:val="right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  <w:r w:rsidRPr="006E4D56">
              <w:rPr>
                <w:rFonts w:ascii="Times New Roman" w:hAnsi="Times New Roman"/>
                <w:color w:val="auto"/>
                <w:sz w:val="24"/>
              </w:rPr>
              <w:t>100,00 %</w:t>
            </w:r>
          </w:p>
        </w:tc>
        <w:tc>
          <w:tcPr>
            <w:tcW w:w="1977" w:type="dxa"/>
            <w:tcBorders>
              <w:bottom w:val="single" w:sz="8" w:space="0" w:color="5B9BD5" w:themeColor="accent1"/>
            </w:tcBorders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5B9BD5" w:themeColor="accent1"/>
            </w:tcBorders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45" w:type="dxa"/>
            <w:tcBorders>
              <w:bottom w:val="single" w:sz="8" w:space="0" w:color="5B9BD5" w:themeColor="accent1"/>
            </w:tcBorders>
          </w:tcPr>
          <w:p w:rsidR="00E96486" w:rsidRPr="006E4D56" w:rsidRDefault="00E96486" w:rsidP="00E96486">
            <w:pPr>
              <w:pStyle w:val="Nadpis5"/>
              <w:spacing w:before="0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E96486" w:rsidRPr="000A7287" w:rsidRDefault="00E96486" w:rsidP="00E96486">
      <w:pPr>
        <w:pStyle w:val="Nadpis5"/>
        <w:rPr>
          <w:rFonts w:ascii="Times New Roman" w:hAnsi="Times New Roman"/>
          <w:color w:val="auto"/>
        </w:rPr>
      </w:pPr>
    </w:p>
    <w:p w:rsidR="00E96486" w:rsidRPr="00103B78" w:rsidRDefault="00E96486" w:rsidP="0032461E">
      <w:pPr>
        <w:rPr>
          <w:rFonts w:ascii="Times New Roman" w:hAnsi="Times New Roman" w:cs="Times New Roman"/>
          <w:b/>
          <w:sz w:val="24"/>
          <w:szCs w:val="24"/>
        </w:rPr>
      </w:pPr>
    </w:p>
    <w:sectPr w:rsidR="00E96486" w:rsidRPr="00103B78" w:rsidSect="007F1F16">
      <w:footerReference w:type="default" r:id="rId9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88" w:rsidRDefault="006B3888" w:rsidP="00592351">
      <w:pPr>
        <w:spacing w:after="0" w:line="240" w:lineRule="auto"/>
      </w:pPr>
      <w:r>
        <w:separator/>
      </w:r>
    </w:p>
  </w:endnote>
  <w:endnote w:type="continuationSeparator" w:id="0">
    <w:p w:rsidR="006B3888" w:rsidRDefault="006B3888" w:rsidP="0059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8" w:rsidRDefault="006B388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77E56">
      <w:rPr>
        <w:noProof/>
      </w:rPr>
      <w:t>16</w:t>
    </w:r>
    <w:r>
      <w:fldChar w:fldCharType="end"/>
    </w:r>
  </w:p>
  <w:p w:rsidR="006B3888" w:rsidRPr="004137B2" w:rsidRDefault="006B3888" w:rsidP="00E964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88" w:rsidRDefault="006B3888" w:rsidP="00592351">
      <w:pPr>
        <w:spacing w:after="0" w:line="240" w:lineRule="auto"/>
      </w:pPr>
      <w:r>
        <w:separator/>
      </w:r>
    </w:p>
  </w:footnote>
  <w:footnote w:type="continuationSeparator" w:id="0">
    <w:p w:rsidR="006B3888" w:rsidRDefault="006B3888" w:rsidP="00592351">
      <w:pPr>
        <w:spacing w:after="0" w:line="240" w:lineRule="auto"/>
      </w:pPr>
      <w:r>
        <w:continuationSeparator/>
      </w:r>
    </w:p>
  </w:footnote>
  <w:footnote w:id="1">
    <w:p w:rsidR="006B3888" w:rsidRDefault="006B3888" w:rsidP="00CA073A">
      <w:pPr>
        <w:pStyle w:val="Textpoznmkypodiarou"/>
        <w:jc w:val="both"/>
      </w:pPr>
      <w:r>
        <w:t>Koeficient sa ponecháva na úrovni 1,5 len pre jednoduchšie medziročné porovnanie „výkonu“ a výpočet v dotácií na tovary a služby.</w:t>
      </w:r>
    </w:p>
  </w:footnote>
  <w:footnote w:id="2">
    <w:p w:rsidR="006B3888" w:rsidRDefault="006B3888" w:rsidP="00CA073A">
      <w:pPr>
        <w:pStyle w:val="Textpoznmkypodiarou"/>
      </w:pPr>
      <w:r w:rsidRPr="003D53FE">
        <w:t xml:space="preserve">SDS – štandardná dĺžka štúdia v študijnom programe. </w:t>
      </w:r>
      <w:r>
        <w:t>V prípade absolventov sa SDS =4</w:t>
      </w:r>
      <w:r w:rsidRPr="003D53FE">
        <w:t>.</w:t>
      </w:r>
    </w:p>
  </w:footnote>
  <w:footnote w:id="3">
    <w:p w:rsidR="006B3888" w:rsidRDefault="006B3888" w:rsidP="00CA073A">
      <w:pPr>
        <w:pStyle w:val="Textpoznmkypodiarou"/>
      </w:pPr>
      <w:r>
        <w:t xml:space="preserve">V počte absolventov sa ako nezamestnaní zohľadňujú len absolventi s prideleným rodným číslom. </w:t>
      </w:r>
    </w:p>
  </w:footnote>
  <w:footnote w:id="4">
    <w:p w:rsidR="006B3888" w:rsidRDefault="006B3888" w:rsidP="00E96486"/>
    <w:p w:rsidR="006B3888" w:rsidRDefault="006B3888" w:rsidP="00E964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0E5"/>
    <w:multiLevelType w:val="hybridMultilevel"/>
    <w:tmpl w:val="A7F87DE4"/>
    <w:lvl w:ilvl="0" w:tplc="1CC4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6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4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EE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2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6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E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4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8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7640B"/>
    <w:multiLevelType w:val="hybridMultilevel"/>
    <w:tmpl w:val="A6B4D6A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134E442C"/>
    <w:multiLevelType w:val="hybridMultilevel"/>
    <w:tmpl w:val="0EA08D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375B"/>
    <w:multiLevelType w:val="hybridMultilevel"/>
    <w:tmpl w:val="42F075A4"/>
    <w:lvl w:ilvl="0" w:tplc="3C620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AD8"/>
    <w:multiLevelType w:val="hybridMultilevel"/>
    <w:tmpl w:val="1EF26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F75F6"/>
    <w:multiLevelType w:val="hybridMultilevel"/>
    <w:tmpl w:val="2928601C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6" w15:restartNumberingAfterBreak="0">
    <w:nsid w:val="26DC7504"/>
    <w:multiLevelType w:val="hybridMultilevel"/>
    <w:tmpl w:val="D1486D30"/>
    <w:lvl w:ilvl="0" w:tplc="50925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8E0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214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AB5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615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6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E0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2D1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29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9DA"/>
    <w:multiLevelType w:val="hybridMultilevel"/>
    <w:tmpl w:val="1F681BB2"/>
    <w:lvl w:ilvl="0" w:tplc="0D2A5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042D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3729"/>
    <w:multiLevelType w:val="hybridMultilevel"/>
    <w:tmpl w:val="3B3E03D6"/>
    <w:lvl w:ilvl="0" w:tplc="204C6F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96A7D"/>
    <w:multiLevelType w:val="multilevel"/>
    <w:tmpl w:val="16E6BFD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BDB19BB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5C561D0C"/>
    <w:multiLevelType w:val="hybridMultilevel"/>
    <w:tmpl w:val="29D42F60"/>
    <w:lvl w:ilvl="0" w:tplc="C15A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C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C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68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C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A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A3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6A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A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CB0C6E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D4AE9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5" w15:restartNumberingAfterBreak="0">
    <w:nsid w:val="5F1C0F6C"/>
    <w:multiLevelType w:val="hybridMultilevel"/>
    <w:tmpl w:val="C1EC077C"/>
    <w:lvl w:ilvl="0" w:tplc="917A7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8B5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21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44B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7E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23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C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8F7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29C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E0F92"/>
    <w:multiLevelType w:val="hybridMultilevel"/>
    <w:tmpl w:val="093CC4C6"/>
    <w:lvl w:ilvl="0" w:tplc="7B5AAB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96AD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2D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CA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1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63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03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46DDA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 w15:restartNumberingAfterBreak="0">
    <w:nsid w:val="69D01661"/>
    <w:multiLevelType w:val="hybridMultilevel"/>
    <w:tmpl w:val="8432D70E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69F51A08"/>
    <w:multiLevelType w:val="hybridMultilevel"/>
    <w:tmpl w:val="9E464D92"/>
    <w:lvl w:ilvl="0" w:tplc="3DF66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27B"/>
    <w:multiLevelType w:val="hybridMultilevel"/>
    <w:tmpl w:val="B5DEB48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1" w15:restartNumberingAfterBreak="0">
    <w:nsid w:val="6D563E33"/>
    <w:multiLevelType w:val="hybridMultilevel"/>
    <w:tmpl w:val="48DA45C4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2" w15:restartNumberingAfterBreak="0">
    <w:nsid w:val="6F211B9F"/>
    <w:multiLevelType w:val="hybridMultilevel"/>
    <w:tmpl w:val="9D96FC2A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3" w15:restartNumberingAfterBreak="0">
    <w:nsid w:val="6F525EF7"/>
    <w:multiLevelType w:val="hybridMultilevel"/>
    <w:tmpl w:val="0EB80908"/>
    <w:lvl w:ilvl="0" w:tplc="041B0017">
      <w:start w:val="1"/>
      <w:numFmt w:val="lowerLetter"/>
      <w:lvlText w:val="%1)"/>
      <w:lvlJc w:val="left"/>
      <w:pPr>
        <w:ind w:left="843" w:hanging="360"/>
      </w:p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4" w15:restartNumberingAfterBreak="0">
    <w:nsid w:val="77C222D9"/>
    <w:multiLevelType w:val="hybridMultilevel"/>
    <w:tmpl w:val="09E4DFDE"/>
    <w:lvl w:ilvl="0" w:tplc="27321F08">
      <w:start w:val="1"/>
      <w:numFmt w:val="bullet"/>
      <w:lvlText w:val="o"/>
      <w:lvlJc w:val="left"/>
      <w:pPr>
        <w:ind w:left="1021" w:hanging="284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C2352"/>
    <w:multiLevelType w:val="hybridMultilevel"/>
    <w:tmpl w:val="53CAC25C"/>
    <w:lvl w:ilvl="0" w:tplc="E2B0F7D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5"/>
  </w:num>
  <w:num w:numId="20">
    <w:abstractNumId w:val="22"/>
  </w:num>
  <w:num w:numId="21">
    <w:abstractNumId w:val="20"/>
  </w:num>
  <w:num w:numId="22">
    <w:abstractNumId w:val="18"/>
  </w:num>
  <w:num w:numId="23">
    <w:abstractNumId w:val="14"/>
  </w:num>
  <w:num w:numId="24">
    <w:abstractNumId w:val="21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00"/>
    <w:rsid w:val="00030D74"/>
    <w:rsid w:val="000371FA"/>
    <w:rsid w:val="000568E4"/>
    <w:rsid w:val="00085BB9"/>
    <w:rsid w:val="000A0836"/>
    <w:rsid w:val="000A7287"/>
    <w:rsid w:val="000C647F"/>
    <w:rsid w:val="000D6213"/>
    <w:rsid w:val="000E4144"/>
    <w:rsid w:val="00103B78"/>
    <w:rsid w:val="001422D1"/>
    <w:rsid w:val="001E2DA2"/>
    <w:rsid w:val="00206FDF"/>
    <w:rsid w:val="00285416"/>
    <w:rsid w:val="00293322"/>
    <w:rsid w:val="002A3051"/>
    <w:rsid w:val="002B6198"/>
    <w:rsid w:val="002D496B"/>
    <w:rsid w:val="002E0FEE"/>
    <w:rsid w:val="00306FA8"/>
    <w:rsid w:val="00317B92"/>
    <w:rsid w:val="0032461E"/>
    <w:rsid w:val="00325C50"/>
    <w:rsid w:val="00372177"/>
    <w:rsid w:val="0038041A"/>
    <w:rsid w:val="003A1549"/>
    <w:rsid w:val="003A20DC"/>
    <w:rsid w:val="00402596"/>
    <w:rsid w:val="004102CC"/>
    <w:rsid w:val="00447CD7"/>
    <w:rsid w:val="00456B37"/>
    <w:rsid w:val="00477E56"/>
    <w:rsid w:val="00483ECB"/>
    <w:rsid w:val="0049348D"/>
    <w:rsid w:val="004C554B"/>
    <w:rsid w:val="004D5A74"/>
    <w:rsid w:val="004E343B"/>
    <w:rsid w:val="00562E28"/>
    <w:rsid w:val="00571F34"/>
    <w:rsid w:val="00592351"/>
    <w:rsid w:val="005B0FEC"/>
    <w:rsid w:val="005D1D16"/>
    <w:rsid w:val="005E294A"/>
    <w:rsid w:val="005E70C9"/>
    <w:rsid w:val="00620FEF"/>
    <w:rsid w:val="00630AF0"/>
    <w:rsid w:val="00637591"/>
    <w:rsid w:val="00654212"/>
    <w:rsid w:val="006565F5"/>
    <w:rsid w:val="00666A4A"/>
    <w:rsid w:val="00675AE5"/>
    <w:rsid w:val="006B3888"/>
    <w:rsid w:val="006C6F93"/>
    <w:rsid w:val="006D7F26"/>
    <w:rsid w:val="006E4D56"/>
    <w:rsid w:val="006F549F"/>
    <w:rsid w:val="00707DCE"/>
    <w:rsid w:val="00720BFB"/>
    <w:rsid w:val="00761C5A"/>
    <w:rsid w:val="007B3308"/>
    <w:rsid w:val="007F1F16"/>
    <w:rsid w:val="008776FC"/>
    <w:rsid w:val="00880C60"/>
    <w:rsid w:val="008815D7"/>
    <w:rsid w:val="00892CE7"/>
    <w:rsid w:val="008D7D96"/>
    <w:rsid w:val="008E1F0F"/>
    <w:rsid w:val="009010DA"/>
    <w:rsid w:val="009553C1"/>
    <w:rsid w:val="00975272"/>
    <w:rsid w:val="009A542B"/>
    <w:rsid w:val="00A028D3"/>
    <w:rsid w:val="00A8642A"/>
    <w:rsid w:val="00AA77AC"/>
    <w:rsid w:val="00AC1EB5"/>
    <w:rsid w:val="00B223F7"/>
    <w:rsid w:val="00B444A7"/>
    <w:rsid w:val="00B55766"/>
    <w:rsid w:val="00B7167A"/>
    <w:rsid w:val="00B7795E"/>
    <w:rsid w:val="00BB38C8"/>
    <w:rsid w:val="00BB4D07"/>
    <w:rsid w:val="00BB5B00"/>
    <w:rsid w:val="00BB79E7"/>
    <w:rsid w:val="00BC22DA"/>
    <w:rsid w:val="00BC5F23"/>
    <w:rsid w:val="00BE7568"/>
    <w:rsid w:val="00C02EF6"/>
    <w:rsid w:val="00C1663D"/>
    <w:rsid w:val="00C26F9C"/>
    <w:rsid w:val="00C31E7F"/>
    <w:rsid w:val="00C80704"/>
    <w:rsid w:val="00C83D23"/>
    <w:rsid w:val="00C9570F"/>
    <w:rsid w:val="00CA073A"/>
    <w:rsid w:val="00CA7340"/>
    <w:rsid w:val="00CB519A"/>
    <w:rsid w:val="00CD0ACC"/>
    <w:rsid w:val="00CF3F32"/>
    <w:rsid w:val="00CF4060"/>
    <w:rsid w:val="00D057E1"/>
    <w:rsid w:val="00D40790"/>
    <w:rsid w:val="00D4256A"/>
    <w:rsid w:val="00D71B68"/>
    <w:rsid w:val="00D828A2"/>
    <w:rsid w:val="00D85C28"/>
    <w:rsid w:val="00DE5978"/>
    <w:rsid w:val="00DF240B"/>
    <w:rsid w:val="00DF75DF"/>
    <w:rsid w:val="00E02285"/>
    <w:rsid w:val="00E433A8"/>
    <w:rsid w:val="00E67278"/>
    <w:rsid w:val="00E73DA2"/>
    <w:rsid w:val="00E8556A"/>
    <w:rsid w:val="00E96486"/>
    <w:rsid w:val="00EA4737"/>
    <w:rsid w:val="00EF0140"/>
    <w:rsid w:val="00F33D35"/>
    <w:rsid w:val="00F6046E"/>
    <w:rsid w:val="00F669D4"/>
    <w:rsid w:val="00F7055C"/>
    <w:rsid w:val="00FA0B5B"/>
    <w:rsid w:val="00FA1546"/>
    <w:rsid w:val="00FB1890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4CBF0-E4B5-4E27-885A-8B543FB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6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80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05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070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964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A07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C2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7795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041A"/>
    <w:rPr>
      <w:rFonts w:ascii="Segoe UI" w:hAnsi="Segoe UI" w:cs="Segoe UI"/>
      <w:sz w:val="18"/>
      <w:szCs w:val="18"/>
    </w:rPr>
  </w:style>
  <w:style w:type="paragraph" w:customStyle="1" w:styleId="odsek">
    <w:name w:val="odsek"/>
    <w:basedOn w:val="Obyajntext"/>
    <w:link w:val="odsekChar"/>
    <w:qFormat/>
    <w:rsid w:val="00892CE7"/>
    <w:pPr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dsek-pismeno">
    <w:name w:val="odsek - pismeno"/>
    <w:basedOn w:val="odsek"/>
    <w:link w:val="odsek-pismenoChar"/>
    <w:qFormat/>
    <w:rsid w:val="00892CE7"/>
    <w:pPr>
      <w:numPr>
        <w:ilvl w:val="1"/>
        <w:numId w:val="0"/>
      </w:numPr>
      <w:ind w:left="142" w:hanging="19"/>
    </w:pPr>
  </w:style>
  <w:style w:type="character" w:customStyle="1" w:styleId="odsekChar">
    <w:name w:val="odsek Char"/>
    <w:basedOn w:val="ObyajntextChar"/>
    <w:link w:val="odsek"/>
    <w:locked/>
    <w:rsid w:val="00892CE7"/>
    <w:rPr>
      <w:rFonts w:ascii="Times New Roman" w:eastAsia="Times New Roman" w:hAnsi="Times New Roman" w:cs="Times New Roman"/>
      <w:sz w:val="24"/>
      <w:szCs w:val="21"/>
    </w:rPr>
  </w:style>
  <w:style w:type="character" w:customStyle="1" w:styleId="odsek-pismenoChar">
    <w:name w:val="odsek - pismeno Char"/>
    <w:basedOn w:val="odsekChar"/>
    <w:link w:val="odsek-pismeno"/>
    <w:locked/>
    <w:rsid w:val="00892CE7"/>
    <w:rPr>
      <w:rFonts w:ascii="Times New Roman" w:eastAsia="Times New Roman" w:hAnsi="Times New Roman" w:cs="Times New Roman"/>
      <w:sz w:val="24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892C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2CE7"/>
    <w:rPr>
      <w:rFonts w:ascii="Consolas" w:hAnsi="Consolas"/>
      <w:sz w:val="21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9235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235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92351"/>
    <w:rPr>
      <w:rFonts w:cs="Times New Roman"/>
      <w:vertAlign w:val="superscript"/>
    </w:rPr>
  </w:style>
  <w:style w:type="paragraph" w:customStyle="1" w:styleId="Nadpis3vavomal">
    <w:name w:val="Nadpis3_vľavo_malý"/>
    <w:basedOn w:val="Nadpis3"/>
    <w:rsid w:val="00D057E1"/>
    <w:pPr>
      <w:keepLines w:val="0"/>
      <w:spacing w:before="0" w:after="12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D057E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A0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28D3"/>
  </w:style>
  <w:style w:type="paragraph" w:styleId="Pta">
    <w:name w:val="footer"/>
    <w:basedOn w:val="Normlny"/>
    <w:link w:val="PtaChar"/>
    <w:uiPriority w:val="99"/>
    <w:unhideWhenUsed/>
    <w:rsid w:val="00A0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28D3"/>
  </w:style>
  <w:style w:type="paragraph" w:customStyle="1" w:styleId="TitulkaUKmetodika">
    <w:name w:val="Titulka_UK_metodika"/>
    <w:basedOn w:val="Normlny"/>
    <w:qFormat/>
    <w:rsid w:val="00630AF0"/>
    <w:pPr>
      <w:spacing w:before="4000" w:after="4000" w:line="240" w:lineRule="auto"/>
      <w:jc w:val="center"/>
    </w:pPr>
    <w:rPr>
      <w:rFonts w:ascii="Times New Roman" w:eastAsia="Times New Roman" w:hAnsi="Times New Roman" w:cs="Times New Roman"/>
      <w:b/>
      <w:caps/>
      <w:spacing w:val="40"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unhideWhenUsed/>
    <w:rsid w:val="00206FDF"/>
    <w:pPr>
      <w:spacing w:before="80" w:after="40" w:line="240" w:lineRule="auto"/>
      <w:ind w:left="567"/>
    </w:pPr>
    <w:rPr>
      <w:rFonts w:ascii="Times New Roman" w:eastAsia="Times New Roman" w:hAnsi="Times New Roman" w:cstheme="minorHAnsi"/>
      <w:bCs/>
      <w:i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206FDF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rsid w:val="00206FDF"/>
    <w:pPr>
      <w:tabs>
        <w:tab w:val="right" w:leader="dot" w:pos="10187"/>
      </w:tabs>
      <w:spacing w:before="120" w:after="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06F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206FDF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Obsah3">
    <w:name w:val="toc 3"/>
    <w:basedOn w:val="Normlny"/>
    <w:next w:val="Normlny"/>
    <w:autoRedefine/>
    <w:uiPriority w:val="39"/>
    <w:unhideWhenUsed/>
    <w:rsid w:val="00206FDF"/>
    <w:pPr>
      <w:spacing w:after="100"/>
      <w:ind w:left="440"/>
    </w:pPr>
  </w:style>
  <w:style w:type="character" w:customStyle="1" w:styleId="Nadpis7Char">
    <w:name w:val="Nadpis 7 Char"/>
    <w:basedOn w:val="Predvolenpsmoodseku"/>
    <w:link w:val="Nadpis7"/>
    <w:uiPriority w:val="9"/>
    <w:rsid w:val="00CA07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oznam1">
    <w:name w:val="Zoznam_1"/>
    <w:basedOn w:val="Normlny"/>
    <w:link w:val="Zoznam1Char"/>
    <w:autoRedefine/>
    <w:rsid w:val="00654212"/>
    <w:pPr>
      <w:spacing w:after="120" w:line="240" w:lineRule="auto"/>
      <w:jc w:val="both"/>
    </w:pPr>
    <w:rPr>
      <w:rFonts w:ascii="Times New Roman" w:eastAsia="Times New Roman" w:hAnsi="Times New Roman" w:cs="Times New Roman"/>
      <w:b/>
      <w:szCs w:val="24"/>
    </w:rPr>
  </w:style>
  <w:style w:type="paragraph" w:customStyle="1" w:styleId="texttabulka">
    <w:name w:val="text_tabulka"/>
    <w:basedOn w:val="Zoznam1"/>
    <w:link w:val="texttabulkaChar"/>
    <w:qFormat/>
    <w:rsid w:val="00CA073A"/>
  </w:style>
  <w:style w:type="paragraph" w:customStyle="1" w:styleId="texttabulkahlavicka">
    <w:name w:val="text_tabulka_hlavicka"/>
    <w:basedOn w:val="Zoznam1"/>
    <w:link w:val="texttabulkahlavickaChar"/>
    <w:qFormat/>
    <w:rsid w:val="00CA073A"/>
    <w:rPr>
      <w:b w:val="0"/>
      <w:color w:val="000000"/>
      <w:sz w:val="20"/>
      <w:szCs w:val="20"/>
    </w:rPr>
  </w:style>
  <w:style w:type="character" w:customStyle="1" w:styleId="Zoznam1Char">
    <w:name w:val="Zoznam_1 Char"/>
    <w:basedOn w:val="Predvolenpsmoodseku"/>
    <w:link w:val="Zoznam1"/>
    <w:locked/>
    <w:rsid w:val="00654212"/>
    <w:rPr>
      <w:rFonts w:ascii="Times New Roman" w:eastAsia="Times New Roman" w:hAnsi="Times New Roman" w:cs="Times New Roman"/>
      <w:b/>
      <w:szCs w:val="24"/>
    </w:rPr>
  </w:style>
  <w:style w:type="character" w:customStyle="1" w:styleId="texttabulkaChar">
    <w:name w:val="text_tabulka Char"/>
    <w:basedOn w:val="Zoznam1Char"/>
    <w:link w:val="texttabulka"/>
    <w:locked/>
    <w:rsid w:val="00CA073A"/>
    <w:rPr>
      <w:rFonts w:ascii="Times New Roman" w:eastAsia="Times New Roman" w:hAnsi="Times New Roman" w:cs="Times New Roman"/>
      <w:b/>
      <w:szCs w:val="24"/>
    </w:rPr>
  </w:style>
  <w:style w:type="character" w:customStyle="1" w:styleId="texttabulkahlavickaChar">
    <w:name w:val="text_tabulka_hlavicka Char"/>
    <w:basedOn w:val="Zoznam1Char"/>
    <w:link w:val="texttabulkahlavicka"/>
    <w:locked/>
    <w:rsid w:val="00CA073A"/>
    <w:rPr>
      <w:rFonts w:ascii="Times New Roman" w:eastAsia="Times New Roman" w:hAnsi="Times New Roman" w:cs="Times New Roman"/>
      <w:b w:val="0"/>
      <w:color w:val="000000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E9648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l12ptZa6pt">
    <w:name w:val="Štýl 12 pt  Za:  6 pt"/>
    <w:basedOn w:val="Normlny"/>
    <w:rsid w:val="00E96486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E964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zvraznenie1">
    <w:name w:val="Light Shading Accent 1"/>
    <w:basedOn w:val="Normlnatabuka"/>
    <w:uiPriority w:val="60"/>
    <w:rsid w:val="00E96486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Nadpis2Char">
    <w:name w:val="Nadpis 2 Char"/>
    <w:basedOn w:val="Predvolenpsmoodseku"/>
    <w:link w:val="Nadpis2"/>
    <w:semiHidden/>
    <w:rsid w:val="00C80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C80704"/>
    <w:rPr>
      <w:rFonts w:ascii="Calibri" w:eastAsia="Times New Roman" w:hAnsi="Calibri" w:cs="Times New Roman"/>
      <w:b/>
      <w:sz w:val="28"/>
      <w:szCs w:val="20"/>
    </w:rPr>
  </w:style>
  <w:style w:type="character" w:styleId="slostrany">
    <w:name w:val="page number"/>
    <w:basedOn w:val="Predvolenpsmoodseku"/>
    <w:uiPriority w:val="99"/>
    <w:rsid w:val="00C80704"/>
    <w:rPr>
      <w:rFonts w:ascii="Times New Roman" w:hAnsi="Times New Roman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rsid w:val="00C8070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C807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0704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80704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070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Zoxnam2">
    <w:name w:val="Zoxnam_2"/>
    <w:basedOn w:val="tl12ptZa6pt"/>
    <w:rsid w:val="00C80704"/>
    <w:pPr>
      <w:tabs>
        <w:tab w:val="num" w:pos="397"/>
      </w:tabs>
      <w:ind w:left="397" w:hanging="397"/>
    </w:pPr>
  </w:style>
  <w:style w:type="paragraph" w:styleId="truktradokumentu">
    <w:name w:val="Document Map"/>
    <w:basedOn w:val="Normlny"/>
    <w:link w:val="truktradokumentuChar"/>
    <w:uiPriority w:val="99"/>
    <w:semiHidden/>
    <w:rsid w:val="00C80704"/>
    <w:pPr>
      <w:shd w:val="clear" w:color="auto" w:fill="000080"/>
      <w:spacing w:after="12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8070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Revzia">
    <w:name w:val="Revision"/>
    <w:hidden/>
    <w:uiPriority w:val="99"/>
    <w:semiHidden/>
    <w:rsid w:val="00C8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C80704"/>
    <w:rPr>
      <w:rFonts w:cs="Times New Roman"/>
      <w:b/>
      <w:bCs/>
      <w:i/>
      <w:iCs/>
      <w:color w:val="5B9BD5" w:themeColor="accent1"/>
    </w:rPr>
  </w:style>
  <w:style w:type="paragraph" w:styleId="Bezriadkovania">
    <w:name w:val="No Spacing"/>
    <w:uiPriority w:val="1"/>
    <w:qFormat/>
    <w:rsid w:val="00C8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C80704"/>
    <w:rPr>
      <w:rFonts w:cs="Times New Roman"/>
      <w:b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070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C80704"/>
    <w:rPr>
      <w:rFonts w:ascii="Cambria" w:eastAsia="Times New Roman" w:hAnsi="Cambria" w:cs="Times New Roman"/>
      <w:sz w:val="24"/>
      <w:szCs w:val="24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C8070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C80704"/>
    <w:rPr>
      <w:rFonts w:ascii="Calibri" w:eastAsia="Times New Roman" w:hAnsi="Calibri" w:cs="Times New Roman"/>
      <w:i/>
      <w:iCs/>
      <w:color w:val="00000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807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C807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3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25AF-D1BA-4C7E-8CDE-60D2ECF9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16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 Olga</dc:creator>
  <cp:lastModifiedBy>Virág Olga</cp:lastModifiedBy>
  <cp:revision>28</cp:revision>
  <cp:lastPrinted>2023-12-05T08:57:00Z</cp:lastPrinted>
  <dcterms:created xsi:type="dcterms:W3CDTF">2022-09-27T08:11:00Z</dcterms:created>
  <dcterms:modified xsi:type="dcterms:W3CDTF">2023-12-05T08:57:00Z</dcterms:modified>
</cp:coreProperties>
</file>